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B70" w:rsidRDefault="00305B70" w:rsidP="00305B70">
      <w:pPr>
        <w:spacing w:after="0" w:line="240" w:lineRule="auto"/>
        <w:jc w:val="center"/>
        <w:rPr>
          <w:rFonts w:ascii="Bryant MediumAltNo3" w:eastAsia="Times New Roman" w:hAnsi="Bryant MediumAltNo3" w:cs="Arial"/>
          <w:b/>
          <w:bCs/>
          <w:color w:val="222222"/>
          <w:sz w:val="32"/>
          <w:szCs w:val="32"/>
          <w:lang w:eastAsia="it-IT"/>
        </w:rPr>
      </w:pPr>
      <w:r>
        <w:rPr>
          <w:rFonts w:ascii="Bryant MediumAltNo3" w:eastAsia="Times New Roman" w:hAnsi="Bryant MediumAltNo3" w:cs="Arial"/>
          <w:b/>
          <w:bCs/>
          <w:color w:val="222222"/>
          <w:sz w:val="32"/>
          <w:szCs w:val="32"/>
          <w:lang w:eastAsia="it-IT"/>
        </w:rPr>
        <w:t>Psicobiotica e Nutrizione Mente-Corpo</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
          <w:bCs/>
          <w:i/>
          <w:iCs/>
          <w:color w:val="222222"/>
          <w:sz w:val="24"/>
          <w:szCs w:val="24"/>
          <w:lang w:eastAsia="it-IT"/>
        </w:rPr>
        <w:t>Modalità</w:t>
      </w:r>
      <w:r>
        <w:rPr>
          <w:rFonts w:ascii="Bryant MediumAltNo3" w:eastAsia="Times New Roman" w:hAnsi="Bryant MediumAltNo3" w:cs="Times New Roman"/>
          <w:sz w:val="24"/>
          <w:szCs w:val="24"/>
          <w:lang w:eastAsia="it-IT"/>
        </w:rPr>
        <w:t xml:space="preserve">: </w:t>
      </w:r>
      <w:r>
        <w:rPr>
          <w:rFonts w:ascii="Bryant MediumAltNo3" w:eastAsia="Times New Roman" w:hAnsi="Bryant MediumAltNo3" w:cs="Arial"/>
          <w:color w:val="222222"/>
          <w:sz w:val="24"/>
          <w:szCs w:val="24"/>
          <w:lang w:eastAsia="it-IT"/>
        </w:rPr>
        <w:t>Asincrono</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bookmarkStart w:id="0" w:name="_GoBack"/>
      <w:bookmarkEnd w:id="0"/>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
          <w:bCs/>
          <w:i/>
          <w:iCs/>
          <w:color w:val="222222"/>
          <w:sz w:val="24"/>
          <w:szCs w:val="24"/>
          <w:lang w:eastAsia="it-IT"/>
        </w:rPr>
        <w:t>IMMAGINI DI PRESENTAZIONE</w:t>
      </w:r>
    </w:p>
    <w:p w:rsidR="00305B70" w:rsidRDefault="00305B70" w:rsidP="00305B70">
      <w:pPr>
        <w:shd w:val="clear" w:color="auto" w:fill="FFFFFF"/>
        <w:spacing w:after="0" w:line="240" w:lineRule="auto"/>
        <w:rPr>
          <w:rFonts w:ascii="Bryant MediumAltNo3" w:eastAsia="Times New Roman" w:hAnsi="Bryant MediumAltNo3" w:cs="Arial"/>
          <w:b/>
          <w:bCs/>
          <w:i/>
          <w:iCs/>
          <w:color w:val="222222"/>
          <w:sz w:val="24"/>
          <w:szCs w:val="24"/>
          <w:lang w:eastAsia="it-IT"/>
        </w:rPr>
      </w:pP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
          <w:bCs/>
          <w:i/>
          <w:iCs/>
          <w:color w:val="222222"/>
          <w:sz w:val="24"/>
          <w:szCs w:val="24"/>
          <w:lang w:eastAsia="it-IT"/>
        </w:rPr>
        <w:t>Descrizione del corso</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jc w:val="both"/>
        <w:rPr>
          <w:rFonts w:ascii="Bryant MediumAltNo3" w:eastAsia="Times New Roman" w:hAnsi="Bryant MediumAltNo3" w:cs="Arial"/>
          <w:color w:val="222222"/>
          <w:sz w:val="24"/>
          <w:szCs w:val="24"/>
          <w:lang w:eastAsia="it-IT"/>
        </w:rPr>
      </w:pPr>
      <w:r>
        <w:rPr>
          <w:rFonts w:ascii="Bryant MediumAltNo3" w:eastAsia="Times New Roman" w:hAnsi="Bryant MediumAltNo3" w:cs="Arial"/>
          <w:color w:val="222222"/>
          <w:sz w:val="24"/>
          <w:szCs w:val="24"/>
          <w:lang w:eastAsia="it-IT"/>
        </w:rPr>
        <w:t xml:space="preserve">Il corso approfondisce </w:t>
      </w:r>
      <w:proofErr w:type="gramStart"/>
      <w:r>
        <w:rPr>
          <w:rFonts w:ascii="Bryant MediumAltNo3" w:eastAsia="Times New Roman" w:hAnsi="Bryant MediumAltNo3" w:cs="Arial"/>
          <w:color w:val="222222"/>
          <w:sz w:val="24"/>
          <w:szCs w:val="24"/>
          <w:lang w:eastAsia="it-IT"/>
        </w:rPr>
        <w:t>la  psicobiotica</w:t>
      </w:r>
      <w:proofErr w:type="gramEnd"/>
      <w:r>
        <w:rPr>
          <w:rFonts w:ascii="Bryant MediumAltNo3" w:eastAsia="Times New Roman" w:hAnsi="Bryant MediumAltNo3" w:cs="Arial"/>
          <w:color w:val="222222"/>
          <w:sz w:val="24"/>
          <w:szCs w:val="24"/>
          <w:lang w:eastAsia="it-IT"/>
        </w:rPr>
        <w:t>, che è una disciplina emergente che studia il legame tra il microbiota intestinale, il cervello, le emozioni ed il comportamento, integrando conoscenze di nutrizione, neuroscienze, psicologia e PNEI (</w:t>
      </w:r>
      <w:proofErr w:type="spellStart"/>
      <w:r>
        <w:rPr>
          <w:rFonts w:ascii="Bryant MediumAltNo3" w:eastAsia="Times New Roman" w:hAnsi="Bryant MediumAltNo3" w:cs="Arial"/>
          <w:color w:val="222222"/>
          <w:sz w:val="24"/>
          <w:szCs w:val="24"/>
          <w:lang w:eastAsia="it-IT"/>
        </w:rPr>
        <w:t>Psico</w:t>
      </w:r>
      <w:proofErr w:type="spellEnd"/>
      <w:r>
        <w:rPr>
          <w:rFonts w:ascii="Bryant MediumAltNo3" w:eastAsia="Times New Roman" w:hAnsi="Bryant MediumAltNo3" w:cs="Arial"/>
          <w:color w:val="222222"/>
          <w:sz w:val="24"/>
          <w:szCs w:val="24"/>
          <w:lang w:eastAsia="it-IT"/>
        </w:rPr>
        <w:t>-Neuro-Endocrino-Immunologia).</w:t>
      </w:r>
    </w:p>
    <w:p w:rsidR="00305B70" w:rsidRDefault="00305B70" w:rsidP="00305B70">
      <w:pPr>
        <w:shd w:val="clear" w:color="auto" w:fill="FFFFFF"/>
        <w:spacing w:after="0" w:line="240" w:lineRule="auto"/>
        <w:jc w:val="both"/>
        <w:rPr>
          <w:rFonts w:ascii="Bryant MediumAltNo3" w:eastAsia="Times New Roman" w:hAnsi="Bryant MediumAltNo3" w:cs="Times New Roman"/>
          <w:sz w:val="24"/>
          <w:szCs w:val="24"/>
          <w:lang w:eastAsia="it-IT"/>
        </w:rPr>
      </w:pP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
          <w:bCs/>
          <w:i/>
          <w:iCs/>
          <w:color w:val="222222"/>
          <w:sz w:val="24"/>
          <w:szCs w:val="24"/>
          <w:lang w:eastAsia="it-IT"/>
        </w:rPr>
        <w:t>Requisiti per partecipare</w:t>
      </w:r>
    </w:p>
    <w:p w:rsidR="00305B70" w:rsidRDefault="00305B70" w:rsidP="00305B70">
      <w:pPr>
        <w:shd w:val="clear" w:color="auto" w:fill="FFFFFF"/>
        <w:spacing w:after="0" w:line="240" w:lineRule="auto"/>
        <w:jc w:val="both"/>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jc w:val="both"/>
        <w:rPr>
          <w:rFonts w:ascii="Bryant MediumAltNo3" w:eastAsia="Times New Roman" w:hAnsi="Bryant MediumAltNo3" w:cs="Arial"/>
          <w:color w:val="222222"/>
          <w:sz w:val="24"/>
          <w:szCs w:val="24"/>
          <w:lang w:eastAsia="it-IT"/>
        </w:rPr>
      </w:pPr>
      <w:r>
        <w:rPr>
          <w:rFonts w:ascii="Bryant MediumAltNo3" w:eastAsia="Times New Roman" w:hAnsi="Bryant MediumAltNo3" w:cs="Arial"/>
          <w:color w:val="222222"/>
          <w:sz w:val="24"/>
          <w:szCs w:val="24"/>
          <w:lang w:eastAsia="it-IT"/>
        </w:rPr>
        <w:t xml:space="preserve">Il corso è aperto a tutti coloro che hanno interesse per le discipline della salute, del benessere e della crescita personale (naturopati, </w:t>
      </w:r>
      <w:proofErr w:type="spellStart"/>
      <w:r>
        <w:rPr>
          <w:rFonts w:ascii="Bryant MediumAltNo3" w:eastAsia="Times New Roman" w:hAnsi="Bryant MediumAltNo3" w:cs="Arial"/>
          <w:color w:val="222222"/>
          <w:sz w:val="24"/>
          <w:szCs w:val="24"/>
          <w:lang w:eastAsia="it-IT"/>
        </w:rPr>
        <w:t>counselor</w:t>
      </w:r>
      <w:proofErr w:type="spellEnd"/>
      <w:r>
        <w:rPr>
          <w:rFonts w:ascii="Bryant MediumAltNo3" w:eastAsia="Times New Roman" w:hAnsi="Bryant MediumAltNo3" w:cs="Arial"/>
          <w:color w:val="222222"/>
          <w:sz w:val="24"/>
          <w:szCs w:val="24"/>
          <w:lang w:eastAsia="it-IT"/>
        </w:rPr>
        <w:t xml:space="preserve">, nutrizionisti, medici, educatori, insegnanti, </w:t>
      </w:r>
      <w:proofErr w:type="spellStart"/>
      <w:r>
        <w:rPr>
          <w:rFonts w:ascii="Bryant MediumAltNo3" w:eastAsia="Times New Roman" w:hAnsi="Bryant MediumAltNo3" w:cs="Arial"/>
          <w:color w:val="222222"/>
          <w:sz w:val="24"/>
          <w:szCs w:val="24"/>
          <w:lang w:eastAsia="it-IT"/>
        </w:rPr>
        <w:t>etc</w:t>
      </w:r>
      <w:proofErr w:type="spellEnd"/>
      <w:r>
        <w:rPr>
          <w:rFonts w:ascii="Bryant MediumAltNo3" w:eastAsia="Times New Roman" w:hAnsi="Bryant MediumAltNo3" w:cs="Arial"/>
          <w:color w:val="222222"/>
          <w:sz w:val="24"/>
          <w:szCs w:val="24"/>
          <w:lang w:eastAsia="it-IT"/>
        </w:rPr>
        <w:t>).</w:t>
      </w:r>
    </w:p>
    <w:p w:rsidR="00305B70" w:rsidRDefault="00305B70" w:rsidP="00305B70">
      <w:pPr>
        <w:shd w:val="clear" w:color="auto" w:fill="FFFFFF"/>
        <w:spacing w:after="0" w:line="240" w:lineRule="auto"/>
        <w:jc w:val="both"/>
        <w:rPr>
          <w:rFonts w:ascii="Bryant MediumAltNo3" w:eastAsia="Times New Roman" w:hAnsi="Bryant MediumAltNo3" w:cs="Times New Roman"/>
          <w:sz w:val="24"/>
          <w:szCs w:val="24"/>
          <w:lang w:eastAsia="it-IT"/>
        </w:rPr>
      </w:pPr>
      <w:r>
        <w:rPr>
          <w:rFonts w:ascii="Bryant MediumAltNo3" w:eastAsia="Times New Roman" w:hAnsi="Bryant MediumAltNo3" w:cs="Arial"/>
          <w:color w:val="222222"/>
          <w:sz w:val="24"/>
          <w:szCs w:val="24"/>
          <w:lang w:eastAsia="it-IT"/>
        </w:rPr>
        <w:t>Non sono richieste particolari competenze mediche o biologiche pregresse.</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
          <w:bCs/>
          <w:i/>
          <w:iCs/>
          <w:color w:val="222222"/>
          <w:sz w:val="24"/>
          <w:szCs w:val="24"/>
          <w:lang w:eastAsia="it-IT"/>
        </w:rPr>
        <w:t>Finalità e obiettivi del corso</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jc w:val="both"/>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Il corso ha lo scopo di fornire una comprensione approfondita delle relazioni tra microbiota intestinale, alimentazione, sistema nervoso, emozioni e benessere psicofisico, secondo una visione integrata dell'essere umano.</w:t>
      </w:r>
    </w:p>
    <w:p w:rsidR="00305B70" w:rsidRDefault="00305B70" w:rsidP="00305B70">
      <w:pPr>
        <w:shd w:val="clear" w:color="auto" w:fill="FFFFFF"/>
        <w:spacing w:after="0" w:line="240" w:lineRule="auto"/>
        <w:jc w:val="both"/>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xml:space="preserve">Attraverso lo studio dell'asse intestino-cervello e dei principi della PNEI, il partecipante acquisirà competenze teoriche e pratiche per comprendere come le abitudini alimentari, lo stile di vita e l'equilibrio del microbiota possano influenzare i processi cognitivi, emotivi e comportamentali.  </w:t>
      </w:r>
      <w:r>
        <w:t>Il corso intende formare professionisti capaci di adottare una visione sistemica e integrata della persona, riconoscendo il ruolo centrale dell'intestino quale interfaccia tra ambiente, nutrizione, sistema immunitario, cervello ed emozioni, favorendo percorsi di educazione alla salute e promozione del benessere globale.</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
          <w:bCs/>
          <w:i/>
          <w:iCs/>
          <w:color w:val="222222"/>
          <w:sz w:val="24"/>
          <w:szCs w:val="24"/>
          <w:lang w:eastAsia="it-IT"/>
        </w:rPr>
        <w:t>Elementi distintivi e innovativi del corso</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jc w:val="both"/>
        <w:rPr>
          <w:rFonts w:ascii="Bryant MediumAltNo3" w:eastAsia="Times New Roman" w:hAnsi="Bryant MediumAltNo3" w:cs="Times New Roman"/>
          <w:sz w:val="24"/>
          <w:szCs w:val="24"/>
          <w:lang w:eastAsia="it-IT"/>
        </w:rPr>
      </w:pPr>
      <w:r>
        <w:rPr>
          <w:rFonts w:ascii="Bryant MediumAltNo3" w:eastAsia="Times New Roman" w:hAnsi="Bryant MediumAltNo3" w:cs="Arial"/>
          <w:color w:val="222222"/>
          <w:sz w:val="24"/>
          <w:szCs w:val="24"/>
          <w:lang w:eastAsia="it-IT"/>
        </w:rPr>
        <w:t xml:space="preserve">Il corso propone una visione sistemica dell'essere umano, approfondendo specificatamente le connessioni tra microbiota, sistema nervoso, sistema immunitario, alimentazione ed emozioni. Collega inoltre le moderne scoperte sul microbiota con strumenti tradizionali della naturopatia quali: alimentazione naturale, fitoterapia, </w:t>
      </w:r>
      <w:proofErr w:type="spellStart"/>
      <w:r>
        <w:rPr>
          <w:rFonts w:ascii="Bryant MediumAltNo3" w:eastAsia="Times New Roman" w:hAnsi="Bryant MediumAltNo3" w:cs="Arial"/>
          <w:color w:val="222222"/>
          <w:sz w:val="24"/>
          <w:szCs w:val="24"/>
          <w:lang w:eastAsia="it-IT"/>
        </w:rPr>
        <w:t>etc</w:t>
      </w:r>
      <w:proofErr w:type="spellEnd"/>
      <w:r>
        <w:rPr>
          <w:rFonts w:ascii="Bryant MediumAltNo3" w:eastAsia="Times New Roman" w:hAnsi="Bryant MediumAltNo3" w:cs="Arial"/>
          <w:color w:val="222222"/>
          <w:sz w:val="24"/>
          <w:szCs w:val="24"/>
          <w:lang w:eastAsia="it-IT"/>
        </w:rPr>
        <w:t xml:space="preserve"> favorendo una visione integrata della persona considerata nella sua globalità, includendo dimensioni biologiche, psicologiche, relazionali, favorendo </w:t>
      </w:r>
      <w:proofErr w:type="gramStart"/>
      <w:r>
        <w:rPr>
          <w:rFonts w:ascii="Bryant MediumAltNo3" w:eastAsia="Times New Roman" w:hAnsi="Bryant MediumAltNo3" w:cs="Arial"/>
          <w:color w:val="222222"/>
          <w:sz w:val="24"/>
          <w:szCs w:val="24"/>
          <w:lang w:eastAsia="it-IT"/>
        </w:rPr>
        <w:t xml:space="preserve">quindi </w:t>
      </w:r>
      <w:r>
        <w:rPr>
          <w:rFonts w:ascii="Bryant MediumAltNo3" w:eastAsia="Times New Roman" w:hAnsi="Bryant MediumAltNo3" w:cs="Times New Roman"/>
          <w:sz w:val="24"/>
          <w:szCs w:val="24"/>
          <w:lang w:eastAsia="it-IT"/>
        </w:rPr>
        <w:t> una</w:t>
      </w:r>
      <w:proofErr w:type="gramEnd"/>
      <w:r>
        <w:rPr>
          <w:rFonts w:ascii="Bryant MediumAltNo3" w:eastAsia="Times New Roman" w:hAnsi="Bryant MediumAltNo3" w:cs="Times New Roman"/>
          <w:sz w:val="24"/>
          <w:szCs w:val="24"/>
          <w:lang w:eastAsia="it-IT"/>
        </w:rPr>
        <w:t xml:space="preserve"> nuova cultura della salute fondata sull'interconnessione tra mente, corpo e ambiente.</w:t>
      </w:r>
    </w:p>
    <w:p w:rsidR="00305B70" w:rsidRDefault="00305B70" w:rsidP="00305B70">
      <w:pPr>
        <w:shd w:val="clear" w:color="auto" w:fill="FFFFFF"/>
        <w:spacing w:after="0" w:line="240" w:lineRule="auto"/>
        <w:rPr>
          <w:rFonts w:ascii="Bryant MediumAltNo3" w:eastAsia="Times New Roman" w:hAnsi="Bryant MediumAltNo3" w:cs="Arial"/>
          <w:color w:val="222222"/>
          <w:sz w:val="24"/>
          <w:szCs w:val="24"/>
          <w:lang w:eastAsia="it-IT"/>
        </w:rPr>
      </w:pP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
          <w:bCs/>
          <w:i/>
          <w:iCs/>
          <w:color w:val="222222"/>
          <w:sz w:val="24"/>
          <w:szCs w:val="24"/>
          <w:lang w:eastAsia="it-IT"/>
        </w:rPr>
        <w:t>Presentazione dei docenti (mini CV)</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jc w:val="both"/>
        <w:rPr>
          <w:rFonts w:ascii="Bryant MediumAltNo3" w:eastAsia="Times New Roman" w:hAnsi="Bryant MediumAltNo3" w:cs="Times New Roman"/>
          <w:sz w:val="24"/>
          <w:szCs w:val="24"/>
          <w:lang w:eastAsia="it-IT"/>
        </w:rPr>
      </w:pPr>
      <w:r>
        <w:rPr>
          <w:rFonts w:ascii="Bryant MediumAltNo3" w:eastAsia="Times New Roman" w:hAnsi="Bryant MediumAltNo3" w:cs="Arial"/>
          <w:color w:val="222222"/>
          <w:sz w:val="24"/>
          <w:szCs w:val="24"/>
          <w:lang w:eastAsia="it-IT"/>
        </w:rPr>
        <w:t>Federica Scaturin</w:t>
      </w:r>
    </w:p>
    <w:p w:rsidR="00305B70" w:rsidRDefault="00305B70" w:rsidP="00305B70">
      <w:pPr>
        <w:shd w:val="clear" w:color="auto" w:fill="FFFFFF"/>
        <w:spacing w:after="0" w:line="240" w:lineRule="auto"/>
        <w:rPr>
          <w:rFonts w:ascii="Bryant MediumAltNo3" w:eastAsia="Times New Roman" w:hAnsi="Bryant MediumAltNo3" w:cs="Arial"/>
          <w:color w:val="222222"/>
          <w:sz w:val="24"/>
          <w:szCs w:val="24"/>
          <w:lang w:eastAsia="it-IT"/>
        </w:rPr>
      </w:pPr>
    </w:p>
    <w:p w:rsidR="00305B70" w:rsidRDefault="00305B70" w:rsidP="00305B70">
      <w:pPr>
        <w:pStyle w:val="Paragrafoelenco"/>
        <w:numPr>
          <w:ilvl w:val="0"/>
          <w:numId w:val="1"/>
        </w:numPr>
        <w:shd w:val="clear" w:color="auto" w:fill="FFFFFF"/>
        <w:spacing w:after="0" w:line="240" w:lineRule="auto"/>
        <w:jc w:val="both"/>
        <w:rPr>
          <w:rFonts w:ascii="Bryant MediumAltNo3" w:eastAsia="Times New Roman" w:hAnsi="Bryant MediumAltNo3" w:cs="Arial"/>
          <w:color w:val="222222"/>
          <w:sz w:val="24"/>
          <w:szCs w:val="24"/>
          <w:lang w:eastAsia="it-IT"/>
        </w:rPr>
      </w:pPr>
      <w:r>
        <w:rPr>
          <w:rFonts w:ascii="Bryant MediumAltNo3" w:eastAsia="Times New Roman" w:hAnsi="Bryant MediumAltNo3" w:cs="Arial"/>
          <w:color w:val="222222"/>
          <w:sz w:val="24"/>
          <w:szCs w:val="24"/>
          <w:lang w:eastAsia="it-IT"/>
        </w:rPr>
        <w:t>Psicologa clinica ed educativa, Specializzanda in Psicoterapia Dinamica Breve (CISSPAT Padova), Specializzata in psicosomatica archetipica ad indirizzo psicoanalitico mediante un master quadriennale presso l'Istituto ANEB (</w:t>
      </w:r>
      <w:proofErr w:type="spellStart"/>
      <w:r>
        <w:rPr>
          <w:rFonts w:ascii="Bryant MediumAltNo3" w:eastAsia="Times New Roman" w:hAnsi="Bryant MediumAltNo3" w:cs="Arial"/>
          <w:color w:val="222222"/>
          <w:sz w:val="24"/>
          <w:szCs w:val="24"/>
          <w:lang w:eastAsia="it-IT"/>
        </w:rPr>
        <w:t>Ecobiopsicologia</w:t>
      </w:r>
      <w:proofErr w:type="spellEnd"/>
      <w:r>
        <w:rPr>
          <w:rFonts w:ascii="Bryant MediumAltNo3" w:eastAsia="Times New Roman" w:hAnsi="Bryant MediumAltNo3" w:cs="Arial"/>
          <w:color w:val="222222"/>
          <w:sz w:val="24"/>
          <w:szCs w:val="24"/>
          <w:lang w:eastAsia="it-IT"/>
        </w:rPr>
        <w:t xml:space="preserve">) di Milano. Sono inoltre </w:t>
      </w:r>
      <w:r>
        <w:rPr>
          <w:rFonts w:ascii="Bryant MediumAltNo3" w:eastAsia="Times New Roman" w:hAnsi="Bryant MediumAltNo3" w:cs="Arial"/>
          <w:color w:val="222222"/>
          <w:sz w:val="24"/>
          <w:szCs w:val="24"/>
          <w:lang w:eastAsia="it-IT"/>
        </w:rPr>
        <w:lastRenderedPageBreak/>
        <w:t xml:space="preserve">Specializzata in: Training Autogeno e T.A. Superiore (TAS) Operatore Test di </w:t>
      </w:r>
      <w:proofErr w:type="spellStart"/>
      <w:r>
        <w:rPr>
          <w:rFonts w:ascii="Bryant MediumAltNo3" w:eastAsia="Times New Roman" w:hAnsi="Bryant MediumAltNo3" w:cs="Arial"/>
          <w:color w:val="222222"/>
          <w:sz w:val="24"/>
          <w:szCs w:val="24"/>
          <w:lang w:eastAsia="it-IT"/>
        </w:rPr>
        <w:t>Luscher</w:t>
      </w:r>
      <w:proofErr w:type="spellEnd"/>
      <w:r>
        <w:rPr>
          <w:rFonts w:ascii="Bryant MediumAltNo3" w:eastAsia="Times New Roman" w:hAnsi="Bryant MediumAltNo3" w:cs="Arial"/>
          <w:color w:val="222222"/>
          <w:sz w:val="24"/>
          <w:szCs w:val="24"/>
          <w:lang w:eastAsia="it-IT"/>
        </w:rPr>
        <w:t xml:space="preserve">, diploma in Psicologia Positiva e </w:t>
      </w:r>
      <w:proofErr w:type="spellStart"/>
      <w:r>
        <w:rPr>
          <w:rFonts w:ascii="Bryant MediumAltNo3" w:eastAsia="Times New Roman" w:hAnsi="Bryant MediumAltNo3" w:cs="Arial"/>
          <w:color w:val="222222"/>
          <w:sz w:val="24"/>
          <w:szCs w:val="24"/>
          <w:lang w:eastAsia="it-IT"/>
        </w:rPr>
        <w:t>Coaching</w:t>
      </w:r>
      <w:proofErr w:type="spellEnd"/>
      <w:r>
        <w:rPr>
          <w:rFonts w:ascii="Bryant MediumAltNo3" w:eastAsia="Times New Roman" w:hAnsi="Bryant MediumAltNo3" w:cs="Arial"/>
          <w:color w:val="222222"/>
          <w:sz w:val="24"/>
          <w:szCs w:val="24"/>
          <w:lang w:eastAsia="it-IT"/>
        </w:rPr>
        <w:t xml:space="preserve"> delle potenzialità, istruttrice </w:t>
      </w:r>
      <w:proofErr w:type="spellStart"/>
      <w:r>
        <w:rPr>
          <w:rFonts w:ascii="Bryant MediumAltNo3" w:eastAsia="Times New Roman" w:hAnsi="Bryant MediumAltNo3" w:cs="Arial"/>
          <w:color w:val="222222"/>
          <w:sz w:val="24"/>
          <w:szCs w:val="24"/>
          <w:lang w:eastAsia="it-IT"/>
        </w:rPr>
        <w:t>Mindfulness</w:t>
      </w:r>
      <w:proofErr w:type="spellEnd"/>
      <w:r>
        <w:rPr>
          <w:rFonts w:ascii="Bryant MediumAltNo3" w:eastAsia="Times New Roman" w:hAnsi="Bryant MediumAltNo3" w:cs="Arial"/>
          <w:color w:val="222222"/>
          <w:sz w:val="24"/>
          <w:szCs w:val="24"/>
          <w:lang w:eastAsia="it-IT"/>
        </w:rPr>
        <w:t xml:space="preserve">, Master in </w:t>
      </w:r>
      <w:proofErr w:type="spellStart"/>
      <w:r>
        <w:rPr>
          <w:rFonts w:ascii="Bryant MediumAltNo3" w:eastAsia="Times New Roman" w:hAnsi="Bryant MediumAltNo3" w:cs="Arial"/>
          <w:color w:val="222222"/>
          <w:sz w:val="24"/>
          <w:szCs w:val="24"/>
          <w:lang w:eastAsia="it-IT"/>
        </w:rPr>
        <w:t>Psico</w:t>
      </w:r>
      <w:proofErr w:type="spellEnd"/>
      <w:r>
        <w:rPr>
          <w:rFonts w:ascii="Bryant MediumAltNo3" w:eastAsia="Times New Roman" w:hAnsi="Bryant MediumAltNo3" w:cs="Arial"/>
          <w:color w:val="222222"/>
          <w:sz w:val="24"/>
          <w:szCs w:val="24"/>
          <w:lang w:eastAsia="it-IT"/>
        </w:rPr>
        <w:t>-Neuro-Endocrino-Immunologia e Neuroscienze, Master in PNEI della nutrizione, Laurea in scienze della nutrizione, Naturopata Certificata a livello europeo e Formatrice in discipline naturali, Specializzata in DCA.</w:t>
      </w:r>
    </w:p>
    <w:p w:rsidR="00305B70" w:rsidRDefault="00305B70" w:rsidP="00305B70">
      <w:pPr>
        <w:shd w:val="clear" w:color="auto" w:fill="FFFFFF"/>
        <w:spacing w:after="0" w:line="240" w:lineRule="auto"/>
        <w:rPr>
          <w:rFonts w:ascii="Bryant MediumAltNo3" w:eastAsia="Times New Roman" w:hAnsi="Bryant MediumAltNo3" w:cs="Arial"/>
          <w:color w:val="222222"/>
          <w:sz w:val="24"/>
          <w:szCs w:val="24"/>
          <w:lang w:eastAsia="it-IT"/>
        </w:rPr>
      </w:pP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
          <w:bCs/>
          <w:i/>
          <w:iCs/>
          <w:color w:val="222222"/>
          <w:sz w:val="24"/>
          <w:szCs w:val="24"/>
          <w:lang w:eastAsia="it-IT"/>
        </w:rPr>
        <w:t>Programma dettagliato del corso</w:t>
      </w:r>
    </w:p>
    <w:p w:rsidR="00305B70" w:rsidRDefault="00305B70" w:rsidP="00305B70">
      <w:pPr>
        <w:shd w:val="clear" w:color="auto" w:fill="FFFFFF"/>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Times New Roman"/>
          <w:sz w:val="24"/>
          <w:szCs w:val="24"/>
          <w:lang w:eastAsia="it-IT"/>
        </w:rPr>
        <w:t> </w:t>
      </w:r>
    </w:p>
    <w:p w:rsidR="00305B70" w:rsidRDefault="00305B70" w:rsidP="00305B70">
      <w:pPr>
        <w:spacing w:after="0" w:line="240" w:lineRule="auto"/>
        <w:rPr>
          <w:rFonts w:ascii="Bryant MediumAltNo3" w:eastAsia="Times New Roman" w:hAnsi="Bryant MediumAltNo3" w:cs="Times New Roman"/>
          <w:sz w:val="24"/>
          <w:szCs w:val="24"/>
          <w:lang w:eastAsia="it-IT"/>
        </w:rPr>
      </w:pPr>
      <w:r>
        <w:rPr>
          <w:rFonts w:ascii="Bryant MediumAltNo3" w:eastAsia="Times New Roman" w:hAnsi="Bryant MediumAltNo3" w:cs="Arial"/>
          <w:bCs/>
          <w:color w:val="000000"/>
          <w:sz w:val="24"/>
          <w:szCs w:val="24"/>
          <w:lang w:eastAsia="it-IT"/>
        </w:rPr>
        <w:t xml:space="preserve">Durata complessiva: 15 ore di </w:t>
      </w:r>
      <w:proofErr w:type="spellStart"/>
      <w:r>
        <w:rPr>
          <w:rFonts w:ascii="Bryant MediumAltNo3" w:eastAsia="Times New Roman" w:hAnsi="Bryant MediumAltNo3" w:cs="Arial"/>
          <w:bCs/>
          <w:color w:val="000000"/>
          <w:sz w:val="24"/>
          <w:szCs w:val="24"/>
          <w:lang w:eastAsia="it-IT"/>
        </w:rPr>
        <w:t>videolezioni</w:t>
      </w:r>
      <w:proofErr w:type="spellEnd"/>
      <w:r>
        <w:rPr>
          <w:rFonts w:ascii="Bryant MediumAltNo3" w:eastAsia="Times New Roman" w:hAnsi="Bryant MediumAltNo3" w:cs="Arial"/>
          <w:color w:val="000000"/>
          <w:sz w:val="24"/>
          <w:szCs w:val="24"/>
          <w:lang w:eastAsia="it-IT"/>
        </w:rPr>
        <w:br/>
      </w:r>
      <w:r>
        <w:rPr>
          <w:rFonts w:ascii="Bryant MediumAltNo3" w:eastAsia="Times New Roman" w:hAnsi="Bryant MediumAltNo3" w:cs="Arial"/>
          <w:bCs/>
          <w:color w:val="000000"/>
          <w:sz w:val="24"/>
          <w:szCs w:val="24"/>
          <w:lang w:eastAsia="it-IT"/>
        </w:rPr>
        <w:t>3 Moduli – 5 ore per modulo</w:t>
      </w:r>
      <w:r>
        <w:rPr>
          <w:rFonts w:ascii="Bryant MediumAltNo3" w:eastAsia="Times New Roman" w:hAnsi="Bryant MediumAltNo3" w:cs="Arial"/>
          <w:color w:val="000000"/>
          <w:sz w:val="24"/>
          <w:szCs w:val="24"/>
          <w:lang w:eastAsia="it-IT"/>
        </w:rPr>
        <w:br/>
      </w:r>
      <w:r>
        <w:rPr>
          <w:rFonts w:ascii="Bryant MediumAltNo3" w:eastAsia="Times New Roman" w:hAnsi="Bryant MediumAltNo3" w:cs="Arial"/>
          <w:bCs/>
          <w:color w:val="000000"/>
          <w:sz w:val="24"/>
          <w:szCs w:val="24"/>
          <w:lang w:eastAsia="it-IT"/>
        </w:rPr>
        <w:t xml:space="preserve">30 </w:t>
      </w:r>
      <w:proofErr w:type="spellStart"/>
      <w:r>
        <w:rPr>
          <w:rFonts w:ascii="Bryant MediumAltNo3" w:eastAsia="Times New Roman" w:hAnsi="Bryant MediumAltNo3" w:cs="Arial"/>
          <w:bCs/>
          <w:color w:val="000000"/>
          <w:sz w:val="24"/>
          <w:szCs w:val="24"/>
          <w:lang w:eastAsia="it-IT"/>
        </w:rPr>
        <w:t>videolezioni</w:t>
      </w:r>
      <w:proofErr w:type="spellEnd"/>
      <w:r>
        <w:rPr>
          <w:rFonts w:ascii="Bryant MediumAltNo3" w:eastAsia="Times New Roman" w:hAnsi="Bryant MediumAltNo3" w:cs="Arial"/>
          <w:bCs/>
          <w:color w:val="000000"/>
          <w:sz w:val="24"/>
          <w:szCs w:val="24"/>
          <w:lang w:eastAsia="it-IT"/>
        </w:rPr>
        <w:t xml:space="preserve"> da circa 30 minuti</w:t>
      </w:r>
    </w:p>
    <w:p w:rsidR="00305B70" w:rsidRDefault="00305B70" w:rsidP="00305B70">
      <w:pPr>
        <w:spacing w:after="0" w:line="240" w:lineRule="auto"/>
        <w:rPr>
          <w:rFonts w:ascii="Bryant MediumAltNo3" w:eastAsia="Times New Roman" w:hAnsi="Bryant MediumAltNo3" w:cs="Times New Roman"/>
          <w:sz w:val="24"/>
          <w:szCs w:val="24"/>
          <w:lang w:eastAsia="it-IT"/>
        </w:rPr>
      </w:pPr>
    </w:p>
    <w:p w:rsidR="00305B70" w:rsidRDefault="00305B70" w:rsidP="00305B70">
      <w:pPr>
        <w:spacing w:after="0" w:line="240" w:lineRule="auto"/>
        <w:jc w:val="both"/>
        <w:textAlignment w:val="baseline"/>
        <w:rPr>
          <w:rFonts w:ascii="Bryant MediumAltNo3" w:eastAsia="Times New Roman" w:hAnsi="Bryant MediumAltNo3" w:cs="Arial"/>
          <w:b/>
          <w:bCs/>
          <w:color w:val="000000"/>
          <w:sz w:val="24"/>
          <w:szCs w:val="24"/>
          <w:lang w:eastAsia="it-IT"/>
        </w:rPr>
      </w:pPr>
      <w:r>
        <w:rPr>
          <w:rFonts w:ascii="Bryant MediumAltNo3" w:eastAsia="Times New Roman" w:hAnsi="Bryant MediumAltNo3" w:cs="Arial"/>
          <w:b/>
          <w:bCs/>
          <w:color w:val="000000"/>
          <w:sz w:val="24"/>
          <w:szCs w:val="24"/>
          <w:lang w:eastAsia="it-IT"/>
        </w:rPr>
        <w:t>MODULO 1 – FONDAMENTI DI MICROBIOTA UMANO E PSICOBIOTA</w:t>
      </w:r>
    </w:p>
    <w:p w:rsidR="00305B70" w:rsidRDefault="00305B70" w:rsidP="00305B70">
      <w:p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 xml:space="preserve">Durata: 5 ore – 10 </w:t>
      </w:r>
      <w:proofErr w:type="spellStart"/>
      <w:r>
        <w:rPr>
          <w:rFonts w:ascii="Bryant MediumAltNo3" w:eastAsia="Times New Roman" w:hAnsi="Bryant MediumAltNo3" w:cs="Arial"/>
          <w:b/>
          <w:bCs/>
          <w:color w:val="000000"/>
          <w:sz w:val="24"/>
          <w:szCs w:val="24"/>
          <w:lang w:eastAsia="it-IT"/>
        </w:rPr>
        <w:t>videolezioni</w:t>
      </w:r>
      <w:proofErr w:type="spellEnd"/>
    </w:p>
    <w:p w:rsidR="00305B70" w:rsidRDefault="00305B70" w:rsidP="00305B70">
      <w:p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Obiettivo del modulo:</w:t>
      </w:r>
      <w:r>
        <w:rPr>
          <w:rFonts w:ascii="Bryant MediumAltNo3" w:eastAsia="Times New Roman" w:hAnsi="Bryant MediumAltNo3" w:cs="Arial"/>
          <w:color w:val="000000"/>
          <w:sz w:val="24"/>
          <w:szCs w:val="24"/>
          <w:lang w:eastAsia="it-IT"/>
        </w:rPr>
        <w:t xml:space="preserve"> comprendere il microbiota come ecosistema biologico dinamico e introdurre il concetto di </w:t>
      </w:r>
      <w:proofErr w:type="spellStart"/>
      <w:r>
        <w:rPr>
          <w:rFonts w:ascii="Bryant MediumAltNo3" w:eastAsia="Times New Roman" w:hAnsi="Bryant MediumAltNo3" w:cs="Arial"/>
          <w:color w:val="000000"/>
          <w:sz w:val="24"/>
          <w:szCs w:val="24"/>
          <w:lang w:eastAsia="it-IT"/>
        </w:rPr>
        <w:t>psicobiota</w:t>
      </w:r>
      <w:proofErr w:type="spellEnd"/>
      <w:r>
        <w:rPr>
          <w:rFonts w:ascii="Bryant MediumAltNo3" w:eastAsia="Times New Roman" w:hAnsi="Bryant MediumAltNo3" w:cs="Arial"/>
          <w:color w:val="000000"/>
          <w:sz w:val="24"/>
          <w:szCs w:val="24"/>
          <w:lang w:eastAsia="it-IT"/>
        </w:rPr>
        <w:t>, costruendo le basi scientifiche necessarie per comprendere la relazione tra intestino, cervello e salute psicofisica.</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 xml:space="preserve">Dal microbiota allo </w:t>
      </w:r>
      <w:proofErr w:type="spellStart"/>
      <w:r>
        <w:rPr>
          <w:rFonts w:ascii="Bryant MediumAltNo3" w:eastAsia="Times New Roman" w:hAnsi="Bryant MediumAltNo3" w:cs="Arial"/>
          <w:b/>
          <w:bCs/>
          <w:color w:val="000000"/>
          <w:sz w:val="24"/>
          <w:szCs w:val="24"/>
          <w:lang w:eastAsia="it-IT"/>
        </w:rPr>
        <w:t>psicobiota</w:t>
      </w:r>
      <w:proofErr w:type="spellEnd"/>
      <w:r>
        <w:rPr>
          <w:rFonts w:ascii="Bryant MediumAltNo3" w:eastAsia="Times New Roman" w:hAnsi="Bryant MediumAltNo3" w:cs="Arial"/>
          <w:b/>
          <w:bCs/>
          <w:color w:val="000000"/>
          <w:sz w:val="24"/>
          <w:szCs w:val="24"/>
          <w:lang w:eastAsia="it-IT"/>
        </w:rPr>
        <w:t>: un nuovo paradigma della salute</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Definizione di microbiota e microbioma. Evoluzione delle conoscenze scientifiche. Dal concetto di flora intestinale al concetto di ecosistema microbico. Significato di </w:t>
      </w:r>
      <w:proofErr w:type="spellStart"/>
      <w:r>
        <w:rPr>
          <w:rFonts w:ascii="Bryant MediumAltNo3" w:eastAsia="Times New Roman" w:hAnsi="Bryant MediumAltNo3" w:cs="Arial"/>
          <w:color w:val="000000"/>
          <w:sz w:val="24"/>
          <w:szCs w:val="24"/>
          <w:lang w:eastAsia="it-IT"/>
        </w:rPr>
        <w:t>psicobiota</w:t>
      </w:r>
      <w:proofErr w:type="spellEnd"/>
      <w:r>
        <w:rPr>
          <w:rFonts w:ascii="Bryant MediumAltNo3" w:eastAsia="Times New Roman" w:hAnsi="Bryant MediumAltNo3" w:cs="Arial"/>
          <w:color w:val="000000"/>
          <w:sz w:val="24"/>
          <w:szCs w:val="24"/>
          <w:lang w:eastAsia="it-IT"/>
        </w:rPr>
        <w:t xml:space="preserve">. Nascita e sviluppo della psicobiotica. Perché il microbiota interessa oggi neuroscienze, psicologia e nutrizione.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L'ecosistema intestinale: chi vive dentro di noi?</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Batteri, virus, funghi e archei. Organizzazione delle comunità microbiche. Diversità e ricchezza microbica. Eubiosi e disbiosi. Resilienza del microbiota.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Come si costruisce il microbiota nel corso della vita</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Prime fasi della colonizzazione microbica. Nascita e allattamento. Infanzia e sviluppo. Età adulta e invecchiamento. Influenza dell'ambiente e dello stile di vita.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La barriera intestinale: il confine tra ambiente interno ed esterno</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Struttura della barriera intestinale. Muco, epitelio e tight </w:t>
      </w:r>
      <w:proofErr w:type="spellStart"/>
      <w:r>
        <w:rPr>
          <w:rFonts w:ascii="Bryant MediumAltNo3" w:eastAsia="Times New Roman" w:hAnsi="Bryant MediumAltNo3" w:cs="Arial"/>
          <w:color w:val="000000"/>
          <w:sz w:val="24"/>
          <w:szCs w:val="24"/>
          <w:lang w:eastAsia="it-IT"/>
        </w:rPr>
        <w:t>junctions</w:t>
      </w:r>
      <w:proofErr w:type="spellEnd"/>
      <w:r>
        <w:rPr>
          <w:rFonts w:ascii="Bryant MediumAltNo3" w:eastAsia="Times New Roman" w:hAnsi="Bryant MediumAltNo3" w:cs="Arial"/>
          <w:color w:val="000000"/>
          <w:sz w:val="24"/>
          <w:szCs w:val="24"/>
          <w:lang w:eastAsia="it-IT"/>
        </w:rPr>
        <w:t xml:space="preserve">. Permeabilità intestinale. Interazione tra microbiota e barriera. Alterazioni della permeabilità e risposta immunitaria.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Microbiota e sistema immunitario</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Sviluppo e modulazione del sistema immunitario. Immunità innata e adattativa. Tolleranza immunologica. Interazione microbiota-cellule immunitarie. Citochine e segnali infiammatori.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I metaboliti del microbiota: messaggeri invisibili</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Acidi grassi a corta catena. Butirrato, </w:t>
      </w:r>
      <w:proofErr w:type="spellStart"/>
      <w:r>
        <w:rPr>
          <w:rFonts w:ascii="Bryant MediumAltNo3" w:eastAsia="Times New Roman" w:hAnsi="Bryant MediumAltNo3" w:cs="Arial"/>
          <w:color w:val="000000"/>
          <w:sz w:val="24"/>
          <w:szCs w:val="24"/>
          <w:lang w:eastAsia="it-IT"/>
        </w:rPr>
        <w:t>propionato</w:t>
      </w:r>
      <w:proofErr w:type="spellEnd"/>
      <w:r>
        <w:rPr>
          <w:rFonts w:ascii="Bryant MediumAltNo3" w:eastAsia="Times New Roman" w:hAnsi="Bryant MediumAltNo3" w:cs="Arial"/>
          <w:color w:val="000000"/>
          <w:sz w:val="24"/>
          <w:szCs w:val="24"/>
          <w:lang w:eastAsia="it-IT"/>
        </w:rPr>
        <w:t xml:space="preserve"> e acetato. Metabolismo del triptofano. Indoli e metaboliti microbici. Comunicazione metabolica tra intestino e organismo.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Disbiosi: quando l'ecosistema perde equilibrio</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Definizione e limiti del concetto di disbiosi. Fattori favorenti. Antibiotici, alimentazione, stress e ambiente. Conseguenze biologiche. Criticità dei test commerciali del microbiota.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Nutrizione e microbiota</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Fibre e substrati fermentabili. Polifenoli. Grassi e proteine. Alimenti fermentati. Dieta occidentale e modelli alimentari. Diversità nutrizionale e diversità microbica.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 xml:space="preserve">Prebiotici, probiotici e </w:t>
      </w:r>
      <w:proofErr w:type="spellStart"/>
      <w:r>
        <w:rPr>
          <w:rFonts w:ascii="Bryant MediumAltNo3" w:eastAsia="Times New Roman" w:hAnsi="Bryant MediumAltNo3" w:cs="Arial"/>
          <w:b/>
          <w:bCs/>
          <w:color w:val="000000"/>
          <w:sz w:val="24"/>
          <w:szCs w:val="24"/>
          <w:lang w:eastAsia="it-IT"/>
        </w:rPr>
        <w:t>postbiotici</w:t>
      </w:r>
      <w:proofErr w:type="spellEnd"/>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Definizioni scientifiche. Differenze fondamentali. Specificità di ceppo. Dose e durata. Meccanismi d'azione. Evidenze e limiti. </w:t>
      </w:r>
    </w:p>
    <w:p w:rsidR="00305B70" w:rsidRDefault="00305B70" w:rsidP="00305B70">
      <w:pPr>
        <w:numPr>
          <w:ilvl w:val="0"/>
          <w:numId w:val="2"/>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lastRenderedPageBreak/>
        <w:t>Dall'intestino al cervello: prepararsi a collegare i punti</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Sintesi del modulo. Il microbiota come parte di una rete biologica. Introduzione all'asse microbiota-intestino-cervello. Caso esemplificativo e mappa delle connessioni. </w:t>
      </w:r>
    </w:p>
    <w:p w:rsidR="00305B70" w:rsidRDefault="00305B70" w:rsidP="00305B70">
      <w:pPr>
        <w:spacing w:after="0" w:line="240" w:lineRule="auto"/>
        <w:jc w:val="both"/>
        <w:textAlignment w:val="baseline"/>
        <w:rPr>
          <w:rFonts w:ascii="Bryant MediumAltNo3" w:eastAsia="Times New Roman" w:hAnsi="Bryant MediumAltNo3" w:cs="Arial"/>
          <w:b/>
          <w:bCs/>
          <w:color w:val="000000"/>
          <w:sz w:val="24"/>
          <w:szCs w:val="24"/>
          <w:lang w:eastAsia="it-IT"/>
        </w:rPr>
      </w:pPr>
    </w:p>
    <w:p w:rsidR="00305B70" w:rsidRDefault="00305B70" w:rsidP="00305B70">
      <w:pPr>
        <w:spacing w:after="0" w:line="240" w:lineRule="auto"/>
        <w:jc w:val="both"/>
        <w:textAlignment w:val="baseline"/>
        <w:rPr>
          <w:rFonts w:ascii="Bryant MediumAltNo3" w:eastAsia="Times New Roman" w:hAnsi="Bryant MediumAltNo3" w:cs="Arial"/>
          <w:b/>
          <w:bCs/>
          <w:color w:val="000000"/>
          <w:sz w:val="24"/>
          <w:szCs w:val="24"/>
          <w:lang w:eastAsia="it-IT"/>
        </w:rPr>
      </w:pPr>
      <w:r>
        <w:rPr>
          <w:rFonts w:ascii="Bryant MediumAltNo3" w:eastAsia="Times New Roman" w:hAnsi="Bryant MediumAltNo3" w:cs="Arial"/>
          <w:b/>
          <w:bCs/>
          <w:color w:val="000000"/>
          <w:sz w:val="24"/>
          <w:szCs w:val="24"/>
          <w:lang w:eastAsia="it-IT"/>
        </w:rPr>
        <w:t>MODULO 2 – ASSE MICROBIOTA-INTESTINO-CERVELLO E PSICOBIOTICA</w:t>
      </w:r>
    </w:p>
    <w:p w:rsidR="00305B70" w:rsidRDefault="00305B70" w:rsidP="00305B70">
      <w:p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 xml:space="preserve">Durata: 5 ore – 10 </w:t>
      </w:r>
      <w:proofErr w:type="spellStart"/>
      <w:r>
        <w:rPr>
          <w:rFonts w:ascii="Bryant MediumAltNo3" w:eastAsia="Times New Roman" w:hAnsi="Bryant MediumAltNo3" w:cs="Arial"/>
          <w:b/>
          <w:bCs/>
          <w:color w:val="000000"/>
          <w:sz w:val="24"/>
          <w:szCs w:val="24"/>
          <w:lang w:eastAsia="it-IT"/>
        </w:rPr>
        <w:t>videolezioni</w:t>
      </w:r>
      <w:proofErr w:type="spellEnd"/>
    </w:p>
    <w:p w:rsidR="00305B70" w:rsidRDefault="00305B70" w:rsidP="00305B70">
      <w:p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Obiettivo del modulo:</w:t>
      </w:r>
      <w:r>
        <w:rPr>
          <w:rFonts w:ascii="Bryant MediumAltNo3" w:eastAsia="Times New Roman" w:hAnsi="Bryant MediumAltNo3" w:cs="Arial"/>
          <w:color w:val="000000"/>
          <w:sz w:val="24"/>
          <w:szCs w:val="24"/>
          <w:lang w:eastAsia="it-IT"/>
        </w:rPr>
        <w:t xml:space="preserve"> comprendere i meccanismi di comunicazione bidirezionale tra microbiota, intestino e cervello e analizzare il ruolo dello </w:t>
      </w:r>
      <w:proofErr w:type="spellStart"/>
      <w:r>
        <w:rPr>
          <w:rFonts w:ascii="Bryant MediumAltNo3" w:eastAsia="Times New Roman" w:hAnsi="Bryant MediumAltNo3" w:cs="Arial"/>
          <w:color w:val="000000"/>
          <w:sz w:val="24"/>
          <w:szCs w:val="24"/>
          <w:lang w:eastAsia="it-IT"/>
        </w:rPr>
        <w:t>psicobiota</w:t>
      </w:r>
      <w:proofErr w:type="spellEnd"/>
      <w:r>
        <w:rPr>
          <w:rFonts w:ascii="Bryant MediumAltNo3" w:eastAsia="Times New Roman" w:hAnsi="Bryant MediumAltNo3" w:cs="Arial"/>
          <w:color w:val="000000"/>
          <w:sz w:val="24"/>
          <w:szCs w:val="24"/>
          <w:lang w:eastAsia="it-IT"/>
        </w:rPr>
        <w:t xml:space="preserve"> nei processi neurobiologici, emotivi e cognitivi.</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L'asse microbiota-intestino-cervello: la grande rete di comunicazione</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Definizione dell'asse. Comunicazione bidirezionale. Vie nervose, endocrine, immunitarie e metaboliche. Il concetto di network biologico.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Il sistema nervoso enterico: il cervello dell'intestino?</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Organizzazione del sistema nervoso enterico. Plessi nervosi. Motilità e secrezione. Comunicazione con il sistema nervoso centrale. Superamento del mito del “secondo cervello”.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Il nervo vago: la via rapida intestino-cervello</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Anatomia funzionale del nervo vago. Vie afferenti ed efferenti. Segnali viscerali. Regolazione </w:t>
      </w:r>
      <w:proofErr w:type="spellStart"/>
      <w:r>
        <w:rPr>
          <w:rFonts w:ascii="Bryant MediumAltNo3" w:eastAsia="Times New Roman" w:hAnsi="Bryant MediumAltNo3" w:cs="Arial"/>
          <w:color w:val="000000"/>
          <w:sz w:val="24"/>
          <w:szCs w:val="24"/>
          <w:lang w:eastAsia="it-IT"/>
        </w:rPr>
        <w:t>autonomica</w:t>
      </w:r>
      <w:proofErr w:type="spellEnd"/>
      <w:r>
        <w:rPr>
          <w:rFonts w:ascii="Bryant MediumAltNo3" w:eastAsia="Times New Roman" w:hAnsi="Bryant MediumAltNo3" w:cs="Arial"/>
          <w:color w:val="000000"/>
          <w:sz w:val="24"/>
          <w:szCs w:val="24"/>
          <w:lang w:eastAsia="it-IT"/>
        </w:rPr>
        <w:t xml:space="preserve">. Microbiota e comunicazione vagale.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Microbiota e neurotrasmettitori</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Serotonina, GABA, dopamina e noradrenalina. Precursori e metabolismo. Ruolo dei microrganismi. Cosa significa realmente “produzione di neurotrasmettitori intestinali”. Miti e semplificazioni.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 xml:space="preserve">Triptofano, serotonina e via della </w:t>
      </w:r>
      <w:proofErr w:type="spellStart"/>
      <w:r>
        <w:rPr>
          <w:rFonts w:ascii="Bryant MediumAltNo3" w:eastAsia="Times New Roman" w:hAnsi="Bryant MediumAltNo3" w:cs="Arial"/>
          <w:b/>
          <w:bCs/>
          <w:color w:val="000000"/>
          <w:sz w:val="24"/>
          <w:szCs w:val="24"/>
          <w:lang w:eastAsia="it-IT"/>
        </w:rPr>
        <w:t>chinurenina</w:t>
      </w:r>
      <w:proofErr w:type="spellEnd"/>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Metabolismo del triptofano. Serotonina periferica e centrale. </w:t>
      </w:r>
      <w:proofErr w:type="spellStart"/>
      <w:r>
        <w:rPr>
          <w:rFonts w:ascii="Bryant MediumAltNo3" w:eastAsia="Times New Roman" w:hAnsi="Bryant MediumAltNo3" w:cs="Arial"/>
          <w:color w:val="000000"/>
          <w:sz w:val="24"/>
          <w:szCs w:val="24"/>
          <w:lang w:eastAsia="it-IT"/>
        </w:rPr>
        <w:t>Chinurenina</w:t>
      </w:r>
      <w:proofErr w:type="spellEnd"/>
      <w:r>
        <w:rPr>
          <w:rFonts w:ascii="Bryant MediumAltNo3" w:eastAsia="Times New Roman" w:hAnsi="Bryant MediumAltNo3" w:cs="Arial"/>
          <w:color w:val="000000"/>
          <w:sz w:val="24"/>
          <w:szCs w:val="24"/>
          <w:lang w:eastAsia="it-IT"/>
        </w:rPr>
        <w:t xml:space="preserve">. Infiammazione e metabolismo del triptofano. Implicazioni neurobiologiche.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 xml:space="preserve">Microbiota, cervello e </w:t>
      </w:r>
      <w:proofErr w:type="spellStart"/>
      <w:r>
        <w:rPr>
          <w:rFonts w:ascii="Bryant MediumAltNo3" w:eastAsia="Times New Roman" w:hAnsi="Bryant MediumAltNo3" w:cs="Arial"/>
          <w:b/>
          <w:bCs/>
          <w:color w:val="000000"/>
          <w:sz w:val="24"/>
          <w:szCs w:val="24"/>
          <w:lang w:eastAsia="it-IT"/>
        </w:rPr>
        <w:t>neuroplasticità</w:t>
      </w:r>
      <w:proofErr w:type="spellEnd"/>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Sviluppo cerebrale. BDNF e plasticità neuronale. </w:t>
      </w:r>
      <w:proofErr w:type="spellStart"/>
      <w:r>
        <w:rPr>
          <w:rFonts w:ascii="Bryant MediumAltNo3" w:eastAsia="Times New Roman" w:hAnsi="Bryant MediumAltNo3" w:cs="Arial"/>
          <w:color w:val="000000"/>
          <w:sz w:val="24"/>
          <w:szCs w:val="24"/>
          <w:lang w:eastAsia="it-IT"/>
        </w:rPr>
        <w:t>Microglia</w:t>
      </w:r>
      <w:proofErr w:type="spellEnd"/>
      <w:r>
        <w:rPr>
          <w:rFonts w:ascii="Bryant MediumAltNo3" w:eastAsia="Times New Roman" w:hAnsi="Bryant MediumAltNo3" w:cs="Arial"/>
          <w:color w:val="000000"/>
          <w:sz w:val="24"/>
          <w:szCs w:val="24"/>
          <w:lang w:eastAsia="it-IT"/>
        </w:rPr>
        <w:t xml:space="preserve">. Modelli sperimentali </w:t>
      </w:r>
      <w:proofErr w:type="spellStart"/>
      <w:r>
        <w:rPr>
          <w:rFonts w:ascii="Bryant MediumAltNo3" w:eastAsia="Times New Roman" w:hAnsi="Bryant MediumAltNo3" w:cs="Arial"/>
          <w:color w:val="000000"/>
          <w:sz w:val="24"/>
          <w:szCs w:val="24"/>
          <w:lang w:eastAsia="it-IT"/>
        </w:rPr>
        <w:t>germ</w:t>
      </w:r>
      <w:proofErr w:type="spellEnd"/>
      <w:r>
        <w:rPr>
          <w:rFonts w:ascii="Bryant MediumAltNo3" w:eastAsia="Times New Roman" w:hAnsi="Bryant MediumAltNo3" w:cs="Arial"/>
          <w:color w:val="000000"/>
          <w:sz w:val="24"/>
          <w:szCs w:val="24"/>
          <w:lang w:eastAsia="it-IT"/>
        </w:rPr>
        <w:t xml:space="preserve">-free. Limiti della traslazione dalla ricerca animale all'essere umano.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proofErr w:type="spellStart"/>
      <w:r>
        <w:rPr>
          <w:rFonts w:ascii="Bryant MediumAltNo3" w:eastAsia="Times New Roman" w:hAnsi="Bryant MediumAltNo3" w:cs="Arial"/>
          <w:b/>
          <w:bCs/>
          <w:color w:val="000000"/>
          <w:sz w:val="24"/>
          <w:szCs w:val="24"/>
          <w:lang w:eastAsia="it-IT"/>
        </w:rPr>
        <w:t>Neuroinfiammazione</w:t>
      </w:r>
      <w:proofErr w:type="spellEnd"/>
      <w:r>
        <w:rPr>
          <w:rFonts w:ascii="Bryant MediumAltNo3" w:eastAsia="Times New Roman" w:hAnsi="Bryant MediumAltNo3" w:cs="Arial"/>
          <w:b/>
          <w:bCs/>
          <w:color w:val="000000"/>
          <w:sz w:val="24"/>
          <w:szCs w:val="24"/>
          <w:lang w:eastAsia="it-IT"/>
        </w:rPr>
        <w:t xml:space="preserve"> e microbiota</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r>
      <w:proofErr w:type="spellStart"/>
      <w:r>
        <w:rPr>
          <w:rFonts w:ascii="Bryant MediumAltNo3" w:eastAsia="Times New Roman" w:hAnsi="Bryant MediumAltNo3" w:cs="Arial"/>
          <w:color w:val="000000"/>
          <w:sz w:val="24"/>
          <w:szCs w:val="24"/>
          <w:lang w:eastAsia="it-IT"/>
        </w:rPr>
        <w:t>Microglia</w:t>
      </w:r>
      <w:proofErr w:type="spellEnd"/>
      <w:r>
        <w:rPr>
          <w:rFonts w:ascii="Bryant MediumAltNo3" w:eastAsia="Times New Roman" w:hAnsi="Bryant MediumAltNo3" w:cs="Arial"/>
          <w:color w:val="000000"/>
          <w:sz w:val="24"/>
          <w:szCs w:val="24"/>
          <w:lang w:eastAsia="it-IT"/>
        </w:rPr>
        <w:t xml:space="preserve"> e risposta </w:t>
      </w:r>
      <w:proofErr w:type="spellStart"/>
      <w:r>
        <w:rPr>
          <w:rFonts w:ascii="Bryant MediumAltNo3" w:eastAsia="Times New Roman" w:hAnsi="Bryant MediumAltNo3" w:cs="Arial"/>
          <w:color w:val="000000"/>
          <w:sz w:val="24"/>
          <w:szCs w:val="24"/>
          <w:lang w:eastAsia="it-IT"/>
        </w:rPr>
        <w:t>neuroimmune</w:t>
      </w:r>
      <w:proofErr w:type="spellEnd"/>
      <w:r>
        <w:rPr>
          <w:rFonts w:ascii="Bryant MediumAltNo3" w:eastAsia="Times New Roman" w:hAnsi="Bryant MediumAltNo3" w:cs="Arial"/>
          <w:color w:val="000000"/>
          <w:sz w:val="24"/>
          <w:szCs w:val="24"/>
          <w:lang w:eastAsia="it-IT"/>
        </w:rPr>
        <w:t xml:space="preserve">. Citochine. Barriera ematoencefalica. Infiammazione periferica e cervello. Ipotesi </w:t>
      </w:r>
      <w:proofErr w:type="spellStart"/>
      <w:r>
        <w:rPr>
          <w:rFonts w:ascii="Bryant MediumAltNo3" w:eastAsia="Times New Roman" w:hAnsi="Bryant MediumAltNo3" w:cs="Arial"/>
          <w:color w:val="000000"/>
          <w:sz w:val="24"/>
          <w:szCs w:val="24"/>
          <w:lang w:eastAsia="it-IT"/>
        </w:rPr>
        <w:t>neuroinfiammatorie</w:t>
      </w:r>
      <w:proofErr w:type="spellEnd"/>
      <w:r>
        <w:rPr>
          <w:rFonts w:ascii="Bryant MediumAltNo3" w:eastAsia="Times New Roman" w:hAnsi="Bryant MediumAltNo3" w:cs="Arial"/>
          <w:color w:val="000000"/>
          <w:sz w:val="24"/>
          <w:szCs w:val="24"/>
          <w:lang w:eastAsia="it-IT"/>
        </w:rPr>
        <w:t xml:space="preserve">.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Psicobiota, stress, ansia e umore</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Evidenze disponibili. Associazioni tra microbiota e salute mentale. Studi osservazionali e sperimentali. Correlazione e causalità. Limiti della ricerca attuale.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Psicobiotici: quali microrganismi possono influenzare la mente?</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Definizione di psicobiotico. Evoluzione del termine. Principali ceppi studiati. Probiotici e prebiotici con potenziale psicobiotico. Analisi critica degli studi. </w:t>
      </w:r>
    </w:p>
    <w:p w:rsidR="00305B70" w:rsidRDefault="00305B70" w:rsidP="00305B70">
      <w:pPr>
        <w:numPr>
          <w:ilvl w:val="0"/>
          <w:numId w:val="3"/>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Leggere la psicobiotica senza cadere nel marketing</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Come leggere uno studio. Studi in vitro, animali e trial clinici. </w:t>
      </w:r>
      <w:proofErr w:type="spellStart"/>
      <w:r>
        <w:rPr>
          <w:rFonts w:ascii="Bryant MediumAltNo3" w:eastAsia="Times New Roman" w:hAnsi="Bryant MediumAltNo3" w:cs="Arial"/>
          <w:color w:val="000000"/>
          <w:sz w:val="24"/>
          <w:szCs w:val="24"/>
          <w:lang w:eastAsia="it-IT"/>
        </w:rPr>
        <w:t>Endpoint</w:t>
      </w:r>
      <w:proofErr w:type="spellEnd"/>
      <w:r>
        <w:rPr>
          <w:rFonts w:ascii="Bryant MediumAltNo3" w:eastAsia="Times New Roman" w:hAnsi="Bryant MediumAltNo3" w:cs="Arial"/>
          <w:color w:val="000000"/>
          <w:sz w:val="24"/>
          <w:szCs w:val="24"/>
          <w:lang w:eastAsia="it-IT"/>
        </w:rPr>
        <w:t xml:space="preserve">. Dimensione del campione. Conflitti di interesse. </w:t>
      </w:r>
      <w:proofErr w:type="spellStart"/>
      <w:r>
        <w:rPr>
          <w:rFonts w:ascii="Bryant MediumAltNo3" w:eastAsia="Times New Roman" w:hAnsi="Bryant MediumAltNo3" w:cs="Arial"/>
          <w:color w:val="000000"/>
          <w:sz w:val="24"/>
          <w:szCs w:val="24"/>
          <w:lang w:eastAsia="it-IT"/>
        </w:rPr>
        <w:t>Claim</w:t>
      </w:r>
      <w:proofErr w:type="spellEnd"/>
      <w:r>
        <w:rPr>
          <w:rFonts w:ascii="Bryant MediumAltNo3" w:eastAsia="Times New Roman" w:hAnsi="Bryant MediumAltNo3" w:cs="Arial"/>
          <w:color w:val="000000"/>
          <w:sz w:val="24"/>
          <w:szCs w:val="24"/>
          <w:lang w:eastAsia="it-IT"/>
        </w:rPr>
        <w:t xml:space="preserve"> commerciali. Metodo </w:t>
      </w:r>
      <w:proofErr w:type="spellStart"/>
      <w:r>
        <w:rPr>
          <w:rFonts w:ascii="Bryant MediumAltNo3" w:eastAsia="Times New Roman" w:hAnsi="Bryant MediumAltNo3" w:cs="Arial"/>
          <w:color w:val="000000"/>
          <w:sz w:val="24"/>
          <w:szCs w:val="24"/>
          <w:lang w:eastAsia="it-IT"/>
        </w:rPr>
        <w:t>evidence-based</w:t>
      </w:r>
      <w:proofErr w:type="spellEnd"/>
      <w:r>
        <w:rPr>
          <w:rFonts w:ascii="Bryant MediumAltNo3" w:eastAsia="Times New Roman" w:hAnsi="Bryant MediumAltNo3" w:cs="Arial"/>
          <w:color w:val="000000"/>
          <w:sz w:val="24"/>
          <w:szCs w:val="24"/>
          <w:lang w:eastAsia="it-IT"/>
        </w:rPr>
        <w:t xml:space="preserve">. </w:t>
      </w:r>
    </w:p>
    <w:p w:rsidR="00305B70" w:rsidRDefault="00305B70" w:rsidP="00305B70">
      <w:pPr>
        <w:spacing w:after="0" w:line="240" w:lineRule="auto"/>
        <w:jc w:val="both"/>
        <w:textAlignment w:val="baseline"/>
        <w:rPr>
          <w:rFonts w:ascii="Bryant MediumAltNo3" w:eastAsia="Times New Roman" w:hAnsi="Bryant MediumAltNo3" w:cs="Arial"/>
          <w:color w:val="000000"/>
          <w:sz w:val="24"/>
          <w:szCs w:val="24"/>
          <w:lang w:eastAsia="it-IT"/>
        </w:rPr>
      </w:pPr>
    </w:p>
    <w:p w:rsidR="00305B70" w:rsidRDefault="00305B70" w:rsidP="00305B70">
      <w:pPr>
        <w:spacing w:after="0" w:line="240" w:lineRule="auto"/>
        <w:jc w:val="both"/>
        <w:textAlignment w:val="baseline"/>
        <w:rPr>
          <w:rFonts w:ascii="Bryant MediumAltNo3" w:eastAsia="Times New Roman" w:hAnsi="Bryant MediumAltNo3" w:cs="Arial"/>
          <w:b/>
          <w:bCs/>
          <w:color w:val="000000"/>
          <w:sz w:val="24"/>
          <w:szCs w:val="24"/>
          <w:lang w:eastAsia="it-IT"/>
        </w:rPr>
      </w:pPr>
      <w:r>
        <w:rPr>
          <w:rFonts w:ascii="Bryant MediumAltNo3" w:eastAsia="Times New Roman" w:hAnsi="Bryant MediumAltNo3" w:cs="Arial"/>
          <w:b/>
          <w:bCs/>
          <w:color w:val="000000"/>
          <w:sz w:val="24"/>
          <w:szCs w:val="24"/>
          <w:lang w:eastAsia="it-IT"/>
        </w:rPr>
        <w:t>MODULO 3 – PNEI, STRESS, INFIAMMAZIONE E NUTRIZIONE INTEGRATA</w:t>
      </w:r>
    </w:p>
    <w:p w:rsidR="00305B70" w:rsidRDefault="00305B70" w:rsidP="00305B70">
      <w:p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 xml:space="preserve">Durata: 5 ore – 10 </w:t>
      </w:r>
      <w:proofErr w:type="spellStart"/>
      <w:r>
        <w:rPr>
          <w:rFonts w:ascii="Bryant MediumAltNo3" w:eastAsia="Times New Roman" w:hAnsi="Bryant MediumAltNo3" w:cs="Arial"/>
          <w:b/>
          <w:bCs/>
          <w:color w:val="000000"/>
          <w:sz w:val="24"/>
          <w:szCs w:val="24"/>
          <w:lang w:eastAsia="it-IT"/>
        </w:rPr>
        <w:t>videolezioni</w:t>
      </w:r>
      <w:proofErr w:type="spellEnd"/>
    </w:p>
    <w:p w:rsidR="00305B70" w:rsidRDefault="00305B70" w:rsidP="00305B70">
      <w:p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Obiettivo del modulo:</w:t>
      </w:r>
      <w:r>
        <w:rPr>
          <w:rFonts w:ascii="Bryant MediumAltNo3" w:eastAsia="Times New Roman" w:hAnsi="Bryant MediumAltNo3" w:cs="Arial"/>
          <w:color w:val="000000"/>
          <w:sz w:val="24"/>
          <w:szCs w:val="24"/>
          <w:lang w:eastAsia="it-IT"/>
        </w:rPr>
        <w:t xml:space="preserve"> integrare le conoscenze sul microbiota all'interno della visione PNEI, comprendendo le relazioni tra stress, sistema endocrino, sistema immunitario, infiammazione, nutrizione e salute psicofisica.</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lastRenderedPageBreak/>
        <w:t>La PNEI: dalla frammentazione alla visione sistemica</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Fondamenti della </w:t>
      </w:r>
      <w:proofErr w:type="spellStart"/>
      <w:r>
        <w:rPr>
          <w:rFonts w:ascii="Bryant MediumAltNo3" w:eastAsia="Times New Roman" w:hAnsi="Bryant MediumAltNo3" w:cs="Arial"/>
          <w:color w:val="000000"/>
          <w:sz w:val="24"/>
          <w:szCs w:val="24"/>
          <w:lang w:eastAsia="it-IT"/>
        </w:rPr>
        <w:t>Psiconeuroendocrinoimmunologia</w:t>
      </w:r>
      <w:proofErr w:type="spellEnd"/>
      <w:r>
        <w:rPr>
          <w:rFonts w:ascii="Bryant MediumAltNo3" w:eastAsia="Times New Roman" w:hAnsi="Bryant MediumAltNo3" w:cs="Arial"/>
          <w:color w:val="000000"/>
          <w:sz w:val="24"/>
          <w:szCs w:val="24"/>
          <w:lang w:eastAsia="it-IT"/>
        </w:rPr>
        <w:t xml:space="preserve">. Sistemi di regolazione. Comunicazione tra cervello, sistema endocrino e sistema immunitario. Il microbiota nella rete PNEI.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La fisiologia dello stress</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Stress acuto e cronico. Omeostasi e allostasi. Carico allostatico. Sistema nervoso autonomo. Risposta adattativa.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Asse HPA: quando il cervello attiva il corpo</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Ipotalamo, CRH, ipofisi, ACTH e cortisolo. Feedback negativo. Ritmo circadiano del cortisolo. Alterazioni della risposta allo stress.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Stress e microbiota: una comunicazione bidirezionale</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Effetti dello stress sulla motilità intestinale. Permeabilità. Secrezioni. Sistema immunitario. Modificazioni dell'ambiente intestinale. Il microbiota come modulatore della risposta allo stress.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Infiammazione sistemica di basso grado</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Infiammazione acuta e cronica. Citochine </w:t>
      </w:r>
      <w:proofErr w:type="spellStart"/>
      <w:r>
        <w:rPr>
          <w:rFonts w:ascii="Bryant MediumAltNo3" w:eastAsia="Times New Roman" w:hAnsi="Bryant MediumAltNo3" w:cs="Arial"/>
          <w:color w:val="000000"/>
          <w:sz w:val="24"/>
          <w:szCs w:val="24"/>
          <w:lang w:eastAsia="it-IT"/>
        </w:rPr>
        <w:t>proinfiammatorie</w:t>
      </w:r>
      <w:proofErr w:type="spellEnd"/>
      <w:r>
        <w:rPr>
          <w:rFonts w:ascii="Bryant MediumAltNo3" w:eastAsia="Times New Roman" w:hAnsi="Bryant MediumAltNo3" w:cs="Arial"/>
          <w:color w:val="000000"/>
          <w:sz w:val="24"/>
          <w:szCs w:val="24"/>
          <w:lang w:eastAsia="it-IT"/>
        </w:rPr>
        <w:t xml:space="preserve">. </w:t>
      </w:r>
      <w:proofErr w:type="spellStart"/>
      <w:r>
        <w:rPr>
          <w:rFonts w:ascii="Bryant MediumAltNo3" w:eastAsia="Times New Roman" w:hAnsi="Bryant MediumAltNo3" w:cs="Arial"/>
          <w:color w:val="000000"/>
          <w:sz w:val="24"/>
          <w:szCs w:val="24"/>
          <w:lang w:eastAsia="it-IT"/>
        </w:rPr>
        <w:t>Metainfiammazione</w:t>
      </w:r>
      <w:proofErr w:type="spellEnd"/>
      <w:r>
        <w:rPr>
          <w:rFonts w:ascii="Bryant MediumAltNo3" w:eastAsia="Times New Roman" w:hAnsi="Bryant MediumAltNo3" w:cs="Arial"/>
          <w:color w:val="000000"/>
          <w:sz w:val="24"/>
          <w:szCs w:val="24"/>
          <w:lang w:eastAsia="it-IT"/>
        </w:rPr>
        <w:t xml:space="preserve">. Endotossine e LPS. </w:t>
      </w:r>
      <w:proofErr w:type="spellStart"/>
      <w:r>
        <w:rPr>
          <w:rFonts w:ascii="Bryant MediumAltNo3" w:eastAsia="Times New Roman" w:hAnsi="Bryant MediumAltNo3" w:cs="Arial"/>
          <w:color w:val="000000"/>
          <w:sz w:val="24"/>
          <w:szCs w:val="24"/>
          <w:lang w:eastAsia="it-IT"/>
        </w:rPr>
        <w:t>Metabolic</w:t>
      </w:r>
      <w:proofErr w:type="spellEnd"/>
      <w:r>
        <w:rPr>
          <w:rFonts w:ascii="Bryant MediumAltNo3" w:eastAsia="Times New Roman" w:hAnsi="Bryant MediumAltNo3" w:cs="Arial"/>
          <w:color w:val="000000"/>
          <w:sz w:val="24"/>
          <w:szCs w:val="24"/>
          <w:lang w:eastAsia="it-IT"/>
        </w:rPr>
        <w:t xml:space="preserve"> </w:t>
      </w:r>
      <w:proofErr w:type="spellStart"/>
      <w:r>
        <w:rPr>
          <w:rFonts w:ascii="Bryant MediumAltNo3" w:eastAsia="Times New Roman" w:hAnsi="Bryant MediumAltNo3" w:cs="Arial"/>
          <w:color w:val="000000"/>
          <w:sz w:val="24"/>
          <w:szCs w:val="24"/>
          <w:lang w:eastAsia="it-IT"/>
        </w:rPr>
        <w:t>endotoxemia</w:t>
      </w:r>
      <w:proofErr w:type="spellEnd"/>
      <w:r>
        <w:rPr>
          <w:rFonts w:ascii="Bryant MediumAltNo3" w:eastAsia="Times New Roman" w:hAnsi="Bryant MediumAltNo3" w:cs="Arial"/>
          <w:color w:val="000000"/>
          <w:sz w:val="24"/>
          <w:szCs w:val="24"/>
          <w:lang w:eastAsia="it-IT"/>
        </w:rPr>
        <w:t xml:space="preserve">. Collegamenti con lo stile di vita.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Nutrizione, infiammazione e cervello</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Pattern alimentari e infiammazione. Dieta occidentale. Modello mediterraneo. Polifenoli. Omega-3. Fibre. Nutrizione e </w:t>
      </w:r>
      <w:proofErr w:type="spellStart"/>
      <w:r>
        <w:rPr>
          <w:rFonts w:ascii="Bryant MediumAltNo3" w:eastAsia="Times New Roman" w:hAnsi="Bryant MediumAltNo3" w:cs="Arial"/>
          <w:color w:val="000000"/>
          <w:sz w:val="24"/>
          <w:szCs w:val="24"/>
          <w:lang w:eastAsia="it-IT"/>
        </w:rPr>
        <w:t>neuroinfiammazione</w:t>
      </w:r>
      <w:proofErr w:type="spellEnd"/>
      <w:r>
        <w:rPr>
          <w:rFonts w:ascii="Bryant MediumAltNo3" w:eastAsia="Times New Roman" w:hAnsi="Bryant MediumAltNo3" w:cs="Arial"/>
          <w:color w:val="000000"/>
          <w:sz w:val="24"/>
          <w:szCs w:val="24"/>
          <w:lang w:eastAsia="it-IT"/>
        </w:rPr>
        <w:t xml:space="preserve">.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Il cibo come informazione biologica</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Superamento della visione esclusivamente calorica. Nutrienti e segnali metabolici. Nutrizione, espressione genica e ambiente. Introduzione all'epigenetica nutrizionale.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Sonno, ritmi circadiani e microbiota</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Orologio biologico. Ritmi circadiani intestinali. Sonno e composizione microbica. Cortisolo e melatonina. Alimentazione e cronobiologia.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Stile di vita e salute dell'ecosistema intestinale</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Attività fisica. Stress. Sonno. Ambiente. Farmaci. Relazioni sociali e comportamento. Visione integrata dei determinanti del microbiota. </w:t>
      </w:r>
    </w:p>
    <w:p w:rsidR="00305B70" w:rsidRDefault="00305B70" w:rsidP="00305B70">
      <w:pPr>
        <w:numPr>
          <w:ilvl w:val="0"/>
          <w:numId w:val="4"/>
        </w:numPr>
        <w:spacing w:after="0" w:line="240" w:lineRule="auto"/>
        <w:jc w:val="both"/>
        <w:textAlignment w:val="baseline"/>
        <w:rPr>
          <w:rFonts w:ascii="Bryant MediumAltNo3" w:eastAsia="Times New Roman" w:hAnsi="Bryant MediumAltNo3" w:cs="Arial"/>
          <w:color w:val="000000"/>
          <w:sz w:val="24"/>
          <w:szCs w:val="24"/>
          <w:lang w:eastAsia="it-IT"/>
        </w:rPr>
      </w:pPr>
      <w:r>
        <w:rPr>
          <w:rFonts w:ascii="Bryant MediumAltNo3" w:eastAsia="Times New Roman" w:hAnsi="Bryant MediumAltNo3" w:cs="Arial"/>
          <w:b/>
          <w:bCs/>
          <w:color w:val="000000"/>
          <w:sz w:val="24"/>
          <w:szCs w:val="24"/>
          <w:lang w:eastAsia="it-IT"/>
        </w:rPr>
        <w:t>Dalla conoscenza alla nuova mappa della persona</w:t>
      </w:r>
      <w:r>
        <w:rPr>
          <w:rFonts w:ascii="Bryant MediumAltNo3" w:eastAsia="Times New Roman" w:hAnsi="Bryant MediumAltNo3" w:cs="Arial"/>
          <w:color w:val="000000"/>
          <w:sz w:val="24"/>
          <w:szCs w:val="24"/>
          <w:lang w:eastAsia="it-IT"/>
        </w:rPr>
        <w:t xml:space="preserve"> – 30 minuti</w:t>
      </w:r>
      <w:r>
        <w:rPr>
          <w:rFonts w:ascii="Bryant MediumAltNo3" w:eastAsia="Times New Roman" w:hAnsi="Bryant MediumAltNo3" w:cs="Arial"/>
          <w:color w:val="000000"/>
          <w:sz w:val="24"/>
          <w:szCs w:val="24"/>
          <w:lang w:eastAsia="it-IT"/>
        </w:rPr>
        <w:br/>
        <w:t xml:space="preserve">Integrazione finale microbiota-intestino-cervello-PNEI. Analisi di un caso multidimensionale. Costruzione della mappa delle connessioni. Limiti professionali e lavoro interdisciplinare. Conclusioni e trasformazione del discente. </w:t>
      </w:r>
    </w:p>
    <w:p w:rsidR="00305B70" w:rsidRDefault="00305B70" w:rsidP="00305B70">
      <w:pPr>
        <w:spacing w:after="0" w:line="240" w:lineRule="auto"/>
        <w:jc w:val="both"/>
        <w:textAlignment w:val="baseline"/>
        <w:rPr>
          <w:rFonts w:ascii="Bryant MediumAltNo3" w:eastAsia="Times New Roman" w:hAnsi="Bryant MediumAltNo3" w:cs="Arial"/>
          <w:color w:val="000000"/>
          <w:sz w:val="24"/>
          <w:szCs w:val="24"/>
          <w:lang w:val="en-US" w:eastAsia="it-IT"/>
        </w:rPr>
      </w:pPr>
    </w:p>
    <w:p w:rsidR="00305B70" w:rsidRDefault="00305B70" w:rsidP="00305B70">
      <w:pPr>
        <w:spacing w:after="0" w:line="240" w:lineRule="auto"/>
        <w:rPr>
          <w:rFonts w:ascii="Bryant MediumAltNo3" w:eastAsia="Times New Roman" w:hAnsi="Bryant MediumAltNo3" w:cs="Times New Roman"/>
          <w:sz w:val="24"/>
          <w:szCs w:val="24"/>
          <w:lang w:val="en-US" w:eastAsia="it-IT"/>
        </w:rPr>
      </w:pPr>
    </w:p>
    <w:p w:rsidR="00305B70" w:rsidRDefault="00305B70" w:rsidP="00305B70">
      <w:pPr>
        <w:spacing w:after="0" w:line="240" w:lineRule="auto"/>
        <w:rPr>
          <w:rFonts w:ascii="Bryant MediumAltNo3" w:eastAsia="Times New Roman" w:hAnsi="Bryant MediumAltNo3" w:cs="Times New Roman"/>
          <w:sz w:val="24"/>
          <w:szCs w:val="24"/>
          <w:lang w:val="en-US" w:eastAsia="it-IT"/>
        </w:rPr>
      </w:pPr>
      <w:r>
        <w:rPr>
          <w:rFonts w:ascii="Bryant MediumAltNo3" w:eastAsia="Times New Roman" w:hAnsi="Bryant MediumAltNo3" w:cs="Times New Roman"/>
          <w:sz w:val="24"/>
          <w:szCs w:val="24"/>
          <w:lang w:val="en-US" w:eastAsia="it-IT"/>
        </w:rPr>
        <w:t>COMITATO SCIENTIFICO</w:t>
      </w:r>
    </w:p>
    <w:p w:rsidR="00305B70" w:rsidRDefault="00305B70" w:rsidP="00305B70">
      <w:pPr>
        <w:pStyle w:val="Paragrafoelenco"/>
        <w:numPr>
          <w:ilvl w:val="0"/>
          <w:numId w:val="1"/>
        </w:numPr>
        <w:spacing w:after="0" w:line="240" w:lineRule="auto"/>
        <w:rPr>
          <w:rFonts w:ascii="Bryant MediumAltNo3" w:eastAsia="Times New Roman" w:hAnsi="Bryant MediumAltNo3" w:cs="Times New Roman"/>
          <w:sz w:val="24"/>
          <w:szCs w:val="24"/>
          <w:lang w:val="en-US" w:eastAsia="it-IT"/>
        </w:rPr>
      </w:pPr>
      <w:proofErr w:type="spellStart"/>
      <w:r>
        <w:rPr>
          <w:rFonts w:ascii="Bryant MediumAltNo3" w:eastAsia="Times New Roman" w:hAnsi="Bryant MediumAltNo3" w:cs="Times New Roman"/>
          <w:sz w:val="24"/>
          <w:szCs w:val="24"/>
          <w:lang w:val="en-US" w:eastAsia="it-IT"/>
        </w:rPr>
        <w:t>Cve</w:t>
      </w:r>
      <w:proofErr w:type="spellEnd"/>
      <w:r>
        <w:rPr>
          <w:rFonts w:ascii="Bryant MediumAltNo3" w:eastAsia="Times New Roman" w:hAnsi="Bryant MediumAltNo3" w:cs="Times New Roman"/>
          <w:sz w:val="24"/>
          <w:szCs w:val="24"/>
          <w:lang w:val="en-US" w:eastAsia="it-IT"/>
        </w:rPr>
        <w:t xml:space="preserve"> </w:t>
      </w:r>
      <w:proofErr w:type="spellStart"/>
      <w:r>
        <w:rPr>
          <w:rFonts w:ascii="Bryant MediumAltNo3" w:eastAsia="Times New Roman" w:hAnsi="Bryant MediumAltNo3" w:cs="Times New Roman"/>
          <w:sz w:val="24"/>
          <w:szCs w:val="24"/>
          <w:lang w:val="en-US" w:eastAsia="it-IT"/>
        </w:rPr>
        <w:t>federica</w:t>
      </w:r>
      <w:proofErr w:type="spellEnd"/>
      <w:r>
        <w:rPr>
          <w:rFonts w:ascii="Bryant MediumAltNo3" w:eastAsia="Times New Roman" w:hAnsi="Bryant MediumAltNo3" w:cs="Times New Roman"/>
          <w:sz w:val="24"/>
          <w:szCs w:val="24"/>
          <w:lang w:val="en-US" w:eastAsia="it-IT"/>
        </w:rPr>
        <w:t xml:space="preserve"> </w:t>
      </w:r>
      <w:proofErr w:type="spellStart"/>
      <w:r>
        <w:rPr>
          <w:rFonts w:ascii="Bryant MediumAltNo3" w:eastAsia="Times New Roman" w:hAnsi="Bryant MediumAltNo3" w:cs="Times New Roman"/>
          <w:sz w:val="24"/>
          <w:szCs w:val="24"/>
          <w:lang w:val="en-US" w:eastAsia="it-IT"/>
        </w:rPr>
        <w:t>scaturin</w:t>
      </w:r>
      <w:proofErr w:type="spellEnd"/>
    </w:p>
    <w:p w:rsidR="00305B70" w:rsidRDefault="00305B70" w:rsidP="00305B70">
      <w:pPr>
        <w:pStyle w:val="Paragrafoelenco"/>
        <w:spacing w:after="0" w:line="240" w:lineRule="auto"/>
        <w:rPr>
          <w:rFonts w:ascii="Bryant MediumAltNo3" w:eastAsia="Times New Roman" w:hAnsi="Bryant MediumAltNo3" w:cs="Times New Roman"/>
          <w:sz w:val="24"/>
          <w:szCs w:val="24"/>
          <w:lang w:val="en-US" w:eastAsia="it-IT"/>
        </w:rPr>
      </w:pPr>
    </w:p>
    <w:p w:rsidR="00305B70" w:rsidRDefault="00305B70" w:rsidP="00305B70">
      <w:pPr>
        <w:spacing w:after="0" w:line="240" w:lineRule="auto"/>
        <w:rPr>
          <w:rFonts w:ascii="Bryant MediumAltNo3" w:eastAsia="Times New Roman" w:hAnsi="Bryant MediumAltNo3" w:cs="Times New Roman"/>
          <w:b/>
          <w:sz w:val="24"/>
          <w:szCs w:val="24"/>
          <w:lang w:val="en-US" w:eastAsia="it-IT"/>
        </w:rPr>
      </w:pPr>
      <w:proofErr w:type="spellStart"/>
      <w:r>
        <w:rPr>
          <w:rFonts w:ascii="Bryant MediumAltNo3" w:eastAsia="Times New Roman" w:hAnsi="Bryant MediumAltNo3" w:cs="Times New Roman"/>
          <w:b/>
          <w:sz w:val="24"/>
          <w:szCs w:val="24"/>
          <w:lang w:val="en-US" w:eastAsia="it-IT"/>
        </w:rPr>
        <w:t>Bibliografia</w:t>
      </w:r>
      <w:proofErr w:type="spellEnd"/>
      <w:r>
        <w:rPr>
          <w:rFonts w:ascii="Bryant MediumAltNo3" w:eastAsia="Times New Roman" w:hAnsi="Bryant MediumAltNo3" w:cs="Times New Roman"/>
          <w:b/>
          <w:sz w:val="24"/>
          <w:szCs w:val="24"/>
          <w:lang w:val="en-US" w:eastAsia="it-IT"/>
        </w:rPr>
        <w:t xml:space="preserve"> </w:t>
      </w:r>
      <w:proofErr w:type="spellStart"/>
      <w:r>
        <w:rPr>
          <w:rFonts w:ascii="Bryant MediumAltNo3" w:eastAsia="Times New Roman" w:hAnsi="Bryant MediumAltNo3" w:cs="Times New Roman"/>
          <w:b/>
          <w:sz w:val="24"/>
          <w:szCs w:val="24"/>
          <w:lang w:val="en-US" w:eastAsia="it-IT"/>
        </w:rPr>
        <w:t>principale</w:t>
      </w:r>
      <w:proofErr w:type="spellEnd"/>
      <w:r>
        <w:rPr>
          <w:rFonts w:ascii="Bryant MediumAltNo3" w:eastAsia="Times New Roman" w:hAnsi="Bryant MediumAltNo3" w:cs="Times New Roman"/>
          <w:b/>
          <w:sz w:val="24"/>
          <w:szCs w:val="24"/>
          <w:lang w:val="en-US" w:eastAsia="it-IT"/>
        </w:rPr>
        <w:t xml:space="preserve"> di </w:t>
      </w:r>
      <w:proofErr w:type="spellStart"/>
      <w:r>
        <w:rPr>
          <w:rFonts w:ascii="Bryant MediumAltNo3" w:eastAsia="Times New Roman" w:hAnsi="Bryant MediumAltNo3" w:cs="Times New Roman"/>
          <w:b/>
          <w:sz w:val="24"/>
          <w:szCs w:val="24"/>
          <w:lang w:val="en-US" w:eastAsia="it-IT"/>
        </w:rPr>
        <w:t>riferimento</w:t>
      </w:r>
      <w:proofErr w:type="spellEnd"/>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 xml:space="preserve">Bottaccioli Francesco, </w:t>
      </w:r>
      <w:proofErr w:type="spellStart"/>
      <w:r>
        <w:rPr>
          <w:rFonts w:ascii="Times New Roman" w:hAnsi="Times New Roman" w:cs="Times New Roman"/>
          <w:sz w:val="24"/>
        </w:rPr>
        <w:t>Psico</w:t>
      </w:r>
      <w:proofErr w:type="spellEnd"/>
      <w:r>
        <w:rPr>
          <w:rFonts w:ascii="Times New Roman" w:hAnsi="Times New Roman" w:cs="Times New Roman"/>
          <w:sz w:val="24"/>
        </w:rPr>
        <w:t>-neuro-endocrino-immunologia. I fondamenti scientifici delle relazioni mente-corpo. Le basi razionali della medicina integrata, RED, Milano, 2005</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Bottaccioli Francesco, Immunità, cibo e cervello, Milano, Tecniche Nuove, 2009</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 xml:space="preserve">Bottaccioli Francesco, Epigenetica e </w:t>
      </w:r>
      <w:proofErr w:type="spellStart"/>
      <w:r>
        <w:rPr>
          <w:rFonts w:ascii="Times New Roman" w:hAnsi="Times New Roman" w:cs="Times New Roman"/>
          <w:sz w:val="24"/>
        </w:rPr>
        <w:t>psiconeuroendocrinoimmunologia</w:t>
      </w:r>
      <w:proofErr w:type="spellEnd"/>
      <w:r>
        <w:rPr>
          <w:rFonts w:ascii="Times New Roman" w:hAnsi="Times New Roman" w:cs="Times New Roman"/>
          <w:sz w:val="24"/>
        </w:rPr>
        <w:t>, Edra, Milano, 2014</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Bottaccioli Francesco, La saggezza del secondo cervello, Milano, Tecniche Nuove, 2015</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 xml:space="preserve">Bottaccioli Francesco, </w:t>
      </w:r>
      <w:proofErr w:type="spellStart"/>
      <w:r>
        <w:rPr>
          <w:rFonts w:ascii="Times New Roman" w:hAnsi="Times New Roman" w:cs="Times New Roman"/>
          <w:sz w:val="24"/>
        </w:rPr>
        <w:t>Psiconeuroendocrinoimmunologia</w:t>
      </w:r>
      <w:proofErr w:type="spellEnd"/>
      <w:r>
        <w:rPr>
          <w:rFonts w:ascii="Times New Roman" w:hAnsi="Times New Roman" w:cs="Times New Roman"/>
          <w:sz w:val="24"/>
        </w:rPr>
        <w:t xml:space="preserve">. I </w:t>
      </w:r>
      <w:proofErr w:type="gramStart"/>
      <w:r>
        <w:rPr>
          <w:rFonts w:ascii="Times New Roman" w:hAnsi="Times New Roman" w:cs="Times New Roman"/>
          <w:sz w:val="24"/>
        </w:rPr>
        <w:t>fondamenti,  Milano</w:t>
      </w:r>
      <w:proofErr w:type="gramEnd"/>
      <w:r>
        <w:rPr>
          <w:rFonts w:ascii="Times New Roman" w:hAnsi="Times New Roman" w:cs="Times New Roman"/>
          <w:sz w:val="24"/>
        </w:rPr>
        <w:t xml:space="preserve">, </w:t>
      </w:r>
      <w:proofErr w:type="spellStart"/>
      <w:r>
        <w:rPr>
          <w:rFonts w:ascii="Times New Roman" w:hAnsi="Times New Roman" w:cs="Times New Roman"/>
          <w:sz w:val="24"/>
        </w:rPr>
        <w:t>Red</w:t>
      </w:r>
      <w:proofErr w:type="spellEnd"/>
      <w:r>
        <w:rPr>
          <w:rFonts w:ascii="Times New Roman" w:hAnsi="Times New Roman" w:cs="Times New Roman"/>
          <w:sz w:val="24"/>
        </w:rPr>
        <w:t xml:space="preserve"> Edizioni, 2022</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 xml:space="preserve">Carbone et al. </w:t>
      </w:r>
      <w:proofErr w:type="spellStart"/>
      <w:r>
        <w:rPr>
          <w:rFonts w:ascii="Times New Roman" w:hAnsi="Times New Roman" w:cs="Times New Roman"/>
          <w:sz w:val="24"/>
        </w:rPr>
        <w:t>Systematic</w:t>
      </w:r>
      <w:proofErr w:type="spellEnd"/>
      <w:r>
        <w:rPr>
          <w:rFonts w:ascii="Times New Roman" w:hAnsi="Times New Roman" w:cs="Times New Roman"/>
          <w:sz w:val="24"/>
        </w:rPr>
        <w:t xml:space="preserve"> </w:t>
      </w:r>
      <w:proofErr w:type="spellStart"/>
      <w:r>
        <w:rPr>
          <w:rFonts w:ascii="Times New Roman" w:hAnsi="Times New Roman" w:cs="Times New Roman"/>
          <w:sz w:val="24"/>
        </w:rPr>
        <w:t>review</w:t>
      </w:r>
      <w:proofErr w:type="spellEnd"/>
      <w:r>
        <w:rPr>
          <w:rFonts w:ascii="Times New Roman" w:hAnsi="Times New Roman" w:cs="Times New Roman"/>
          <w:sz w:val="24"/>
        </w:rPr>
        <w:t xml:space="preserve"> on the </w:t>
      </w:r>
      <w:proofErr w:type="spellStart"/>
      <w:r>
        <w:rPr>
          <w:rFonts w:ascii="Times New Roman" w:hAnsi="Times New Roman" w:cs="Times New Roman"/>
          <w:sz w:val="24"/>
        </w:rPr>
        <w:t>role</w:t>
      </w:r>
      <w:proofErr w:type="spellEnd"/>
      <w:r>
        <w:rPr>
          <w:rFonts w:ascii="Times New Roman" w:hAnsi="Times New Roman" w:cs="Times New Roman"/>
          <w:sz w:val="24"/>
        </w:rPr>
        <w:t xml:space="preserve"> of microbiota in the </w:t>
      </w:r>
      <w:proofErr w:type="spellStart"/>
      <w:r>
        <w:rPr>
          <w:rFonts w:ascii="Times New Roman" w:hAnsi="Times New Roman" w:cs="Times New Roman"/>
          <w:sz w:val="24"/>
        </w:rPr>
        <w:t>pathogenesis</w:t>
      </w:r>
      <w:proofErr w:type="spellEnd"/>
      <w:r>
        <w:rPr>
          <w:rFonts w:ascii="Times New Roman" w:hAnsi="Times New Roman" w:cs="Times New Roman"/>
          <w:sz w:val="24"/>
        </w:rPr>
        <w:t xml:space="preserve"> and treatment of </w:t>
      </w:r>
      <w:proofErr w:type="spellStart"/>
      <w:r>
        <w:rPr>
          <w:rFonts w:ascii="Times New Roman" w:hAnsi="Times New Roman" w:cs="Times New Roman"/>
          <w:sz w:val="24"/>
        </w:rPr>
        <w:t>eating</w:t>
      </w:r>
      <w:proofErr w:type="spellEnd"/>
      <w:r>
        <w:rPr>
          <w:rFonts w:ascii="Times New Roman" w:hAnsi="Times New Roman" w:cs="Times New Roman"/>
          <w:sz w:val="24"/>
        </w:rPr>
        <w:t xml:space="preserve"> </w:t>
      </w:r>
      <w:proofErr w:type="spellStart"/>
      <w:r>
        <w:rPr>
          <w:rFonts w:ascii="Times New Roman" w:hAnsi="Times New Roman" w:cs="Times New Roman"/>
          <w:sz w:val="24"/>
        </w:rPr>
        <w:t>disorders</w:t>
      </w:r>
      <w:proofErr w:type="spellEnd"/>
      <w:r>
        <w:rPr>
          <w:rFonts w:ascii="Times New Roman" w:hAnsi="Times New Roman" w:cs="Times New Roman"/>
          <w:sz w:val="24"/>
        </w:rPr>
        <w:t xml:space="preserve">. </w:t>
      </w:r>
      <w:proofErr w:type="spellStart"/>
      <w:r>
        <w:rPr>
          <w:rFonts w:ascii="Times New Roman" w:hAnsi="Times New Roman" w:cs="Times New Roman"/>
          <w:sz w:val="24"/>
        </w:rPr>
        <w:t>Eur</w:t>
      </w:r>
      <w:proofErr w:type="spellEnd"/>
      <w:r>
        <w:rPr>
          <w:rFonts w:ascii="Times New Roman" w:hAnsi="Times New Roman" w:cs="Times New Roman"/>
          <w:sz w:val="24"/>
        </w:rPr>
        <w:t xml:space="preserve"> </w:t>
      </w:r>
      <w:proofErr w:type="spellStart"/>
      <w:r>
        <w:rPr>
          <w:rFonts w:ascii="Times New Roman" w:hAnsi="Times New Roman" w:cs="Times New Roman"/>
          <w:sz w:val="24"/>
        </w:rPr>
        <w:t>Psychiatry</w:t>
      </w:r>
      <w:proofErr w:type="spellEnd"/>
      <w:r>
        <w:rPr>
          <w:rFonts w:ascii="Times New Roman" w:hAnsi="Times New Roman" w:cs="Times New Roman"/>
          <w:sz w:val="24"/>
        </w:rPr>
        <w:t xml:space="preserve">. 2021 </w:t>
      </w:r>
      <w:proofErr w:type="spellStart"/>
      <w:r>
        <w:rPr>
          <w:rFonts w:ascii="Times New Roman" w:hAnsi="Times New Roman" w:cs="Times New Roman"/>
          <w:sz w:val="24"/>
        </w:rPr>
        <w:t>Dec</w:t>
      </w:r>
      <w:proofErr w:type="spellEnd"/>
      <w:r>
        <w:rPr>
          <w:rFonts w:ascii="Times New Roman" w:hAnsi="Times New Roman" w:cs="Times New Roman"/>
          <w:sz w:val="24"/>
        </w:rPr>
        <w:t xml:space="preserve"> 16;64(1</w:t>
      </w:r>
      <w:proofErr w:type="gramStart"/>
      <w:r>
        <w:rPr>
          <w:rFonts w:ascii="Times New Roman" w:hAnsi="Times New Roman" w:cs="Times New Roman"/>
          <w:sz w:val="24"/>
        </w:rPr>
        <w:t>):e</w:t>
      </w:r>
      <w:proofErr w:type="gramEnd"/>
      <w:r>
        <w:rPr>
          <w:rFonts w:ascii="Times New Roman" w:hAnsi="Times New Roman" w:cs="Times New Roman"/>
          <w:sz w:val="24"/>
        </w:rPr>
        <w:t>2]</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lastRenderedPageBreak/>
        <w:t xml:space="preserve">Di Maio Stefania e Mereta F., Microbiota. L’amico invisibile per il tuo benessere a tutte le età, </w:t>
      </w:r>
      <w:proofErr w:type="spellStart"/>
      <w:r>
        <w:rPr>
          <w:rFonts w:ascii="Times New Roman" w:hAnsi="Times New Roman" w:cs="Times New Roman"/>
          <w:sz w:val="24"/>
        </w:rPr>
        <w:t>Gribaudo</w:t>
      </w:r>
      <w:proofErr w:type="spellEnd"/>
      <w:r>
        <w:rPr>
          <w:rFonts w:ascii="Times New Roman" w:hAnsi="Times New Roman" w:cs="Times New Roman"/>
          <w:sz w:val="24"/>
        </w:rPr>
        <w:t xml:space="preserve"> Edizioni, 2020</w:t>
      </w:r>
    </w:p>
    <w:p w:rsidR="00305B70" w:rsidRDefault="00305B70" w:rsidP="00305B70">
      <w:pPr>
        <w:pStyle w:val="Paragrafoelenco"/>
        <w:numPr>
          <w:ilvl w:val="0"/>
          <w:numId w:val="1"/>
        </w:numPr>
        <w:jc w:val="both"/>
        <w:rPr>
          <w:rFonts w:ascii="Times New Roman" w:hAnsi="Times New Roman" w:cs="Times New Roman"/>
          <w:sz w:val="24"/>
        </w:rPr>
      </w:pPr>
      <w:proofErr w:type="spellStart"/>
      <w:r>
        <w:rPr>
          <w:rFonts w:ascii="Times New Roman" w:hAnsi="Times New Roman" w:cs="Times New Roman"/>
          <w:sz w:val="24"/>
        </w:rPr>
        <w:t>Fleschen-Portuese</w:t>
      </w:r>
      <w:proofErr w:type="spellEnd"/>
      <w:r>
        <w:rPr>
          <w:rFonts w:ascii="Times New Roman" w:hAnsi="Times New Roman" w:cs="Times New Roman"/>
          <w:sz w:val="24"/>
        </w:rPr>
        <w:t xml:space="preserve"> A., Psicobiotici. Come nutrire la propria felicità, Milano, </w:t>
      </w:r>
      <w:proofErr w:type="spellStart"/>
      <w:proofErr w:type="gramStart"/>
      <w:r>
        <w:rPr>
          <w:rFonts w:ascii="Times New Roman" w:hAnsi="Times New Roman" w:cs="Times New Roman"/>
          <w:sz w:val="24"/>
        </w:rPr>
        <w:t>Red</w:t>
      </w:r>
      <w:proofErr w:type="spellEnd"/>
      <w:r>
        <w:rPr>
          <w:rFonts w:ascii="Times New Roman" w:hAnsi="Times New Roman" w:cs="Times New Roman"/>
          <w:sz w:val="24"/>
        </w:rPr>
        <w:t>!,</w:t>
      </w:r>
      <w:proofErr w:type="gramEnd"/>
      <w:r>
        <w:rPr>
          <w:rFonts w:ascii="Times New Roman" w:hAnsi="Times New Roman" w:cs="Times New Roman"/>
          <w:sz w:val="24"/>
        </w:rPr>
        <w:t xml:space="preserve"> 2017</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Manera Stefano, Cervello intestino: un legame indissolubile, Cesena, Macro Edizioni, 2021</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 xml:space="preserve">Mayer </w:t>
      </w:r>
      <w:proofErr w:type="spellStart"/>
      <w:r>
        <w:rPr>
          <w:rFonts w:ascii="Times New Roman" w:hAnsi="Times New Roman" w:cs="Times New Roman"/>
          <w:sz w:val="24"/>
        </w:rPr>
        <w:t>Emery</w:t>
      </w:r>
      <w:proofErr w:type="spellEnd"/>
      <w:r>
        <w:rPr>
          <w:rFonts w:ascii="Times New Roman" w:hAnsi="Times New Roman" w:cs="Times New Roman"/>
          <w:sz w:val="24"/>
        </w:rPr>
        <w:t>, La comunicazione mente-pancia, Vicenza, Il Punto d’Incontro, 2017</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 xml:space="preserve">Murray Michael T., Il potere curativo dei cibi, Milano, </w:t>
      </w:r>
      <w:proofErr w:type="spellStart"/>
      <w:r>
        <w:rPr>
          <w:rFonts w:ascii="Times New Roman" w:hAnsi="Times New Roman" w:cs="Times New Roman"/>
          <w:sz w:val="24"/>
        </w:rPr>
        <w:t>Red</w:t>
      </w:r>
      <w:proofErr w:type="spellEnd"/>
      <w:r>
        <w:rPr>
          <w:rFonts w:ascii="Times New Roman" w:hAnsi="Times New Roman" w:cs="Times New Roman"/>
          <w:sz w:val="24"/>
        </w:rPr>
        <w:t xml:space="preserve"> Edizioni, 1996</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 xml:space="preserve">Rescigno Mara, Microbiota geniale, Milano, Antonio </w:t>
      </w:r>
      <w:proofErr w:type="spellStart"/>
      <w:r>
        <w:rPr>
          <w:rFonts w:ascii="Times New Roman" w:hAnsi="Times New Roman" w:cs="Times New Roman"/>
          <w:sz w:val="24"/>
        </w:rPr>
        <w:t>Vallardi</w:t>
      </w:r>
      <w:proofErr w:type="spellEnd"/>
      <w:r>
        <w:rPr>
          <w:rFonts w:ascii="Times New Roman" w:hAnsi="Times New Roman" w:cs="Times New Roman"/>
          <w:sz w:val="24"/>
        </w:rPr>
        <w:t xml:space="preserve"> Editore, 2025</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Rosso Valerio, Psicobiotica. Un nuovo modo di intendere il rapporto tra la mente ed il corpo, Torino, Edizioni ValerioRosso.com, 2018</w:t>
      </w:r>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Trevisani Catia, Fondamenti di Nutrizione, Milano, Edizioni Enea, seconda edizione 2016</w:t>
      </w:r>
    </w:p>
    <w:p w:rsidR="00305B70" w:rsidRDefault="00305B70" w:rsidP="00305B70">
      <w:pPr>
        <w:pStyle w:val="Paragrafoelenco"/>
        <w:numPr>
          <w:ilvl w:val="0"/>
          <w:numId w:val="1"/>
        </w:numPr>
        <w:jc w:val="both"/>
        <w:rPr>
          <w:rFonts w:ascii="Times New Roman" w:hAnsi="Times New Roman" w:cs="Times New Roman"/>
          <w:sz w:val="24"/>
        </w:rPr>
      </w:pPr>
      <w:hyperlink r:id="rId5" w:history="1">
        <w:r>
          <w:rPr>
            <w:rStyle w:val="Collegamentoipertestuale"/>
            <w:rFonts w:ascii="Times New Roman" w:hAnsi="Times New Roman" w:cs="Times New Roman"/>
            <w:sz w:val="24"/>
          </w:rPr>
          <w:t>www.apss.tn.it/Novita/Notizie/Una-dieta-mirata-riduce-stress-e-ansia-il-ruolo-degli-psicobiotici-sotto-la-lente-della-ricerca-FEM- 2025</w:t>
        </w:r>
      </w:hyperlink>
    </w:p>
    <w:p w:rsidR="00305B70" w:rsidRDefault="00305B70" w:rsidP="00305B70">
      <w:pPr>
        <w:pStyle w:val="Paragrafoelenco"/>
        <w:numPr>
          <w:ilvl w:val="0"/>
          <w:numId w:val="1"/>
        </w:numPr>
        <w:jc w:val="both"/>
        <w:rPr>
          <w:rFonts w:ascii="Times New Roman" w:hAnsi="Times New Roman" w:cs="Times New Roman"/>
          <w:sz w:val="24"/>
        </w:rPr>
      </w:pPr>
      <w:r>
        <w:rPr>
          <w:rFonts w:ascii="Times New Roman" w:hAnsi="Times New Roman" w:cs="Times New Roman"/>
          <w:sz w:val="24"/>
        </w:rPr>
        <w:t>https://www.thelancet.com/journals/ebiom/article/PIIS2352-3964(24)00201-9/fulltext (20/08/2025)</w:t>
      </w:r>
    </w:p>
    <w:p w:rsidR="009949CD" w:rsidRDefault="009949CD"/>
    <w:sectPr w:rsidR="009949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yant MediumAltNo3">
    <w:altName w:val="Calibri"/>
    <w:panose1 w:val="00000000000000000000"/>
    <w:charset w:val="00"/>
    <w:family w:val="modern"/>
    <w:notTrueType/>
    <w:pitch w:val="variable"/>
    <w:sig w:usb0="A00000AF" w:usb1="5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A1FA8"/>
    <w:multiLevelType w:val="hybridMultilevel"/>
    <w:tmpl w:val="C87CE1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6147B3A"/>
    <w:multiLevelType w:val="multilevel"/>
    <w:tmpl w:val="57FA8A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4CD7A3A"/>
    <w:multiLevelType w:val="multilevel"/>
    <w:tmpl w:val="9BD6F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EFB1AC0"/>
    <w:multiLevelType w:val="multilevel"/>
    <w:tmpl w:val="CC44D9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361"/>
    <w:rsid w:val="00305B70"/>
    <w:rsid w:val="009949CD"/>
    <w:rsid w:val="00F753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44DE9-423C-4D0A-A24D-678B2C0C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5B70"/>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305B70"/>
    <w:rPr>
      <w:color w:val="0563C1" w:themeColor="hyperlink"/>
      <w:u w:val="single"/>
    </w:rPr>
  </w:style>
  <w:style w:type="paragraph" w:styleId="Paragrafoelenco">
    <w:name w:val="List Paragraph"/>
    <w:basedOn w:val="Normale"/>
    <w:qFormat/>
    <w:rsid w:val="00305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27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pss.tn.it/Novita/Notizie/Una-dieta-mirata-riduce-stress-e-ansia-il-ruolo-degli-psicobiotici-sotto-la-lente-della-ricerca-FEM-%20202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1889</Words>
  <Characters>10768</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SCATURIN FEDERICA</dc:creator>
  <cp:keywords/>
  <dc:description/>
  <cp:lastModifiedBy>SCATURIN FEDERICA</cp:lastModifiedBy>
  <cp:revision>2</cp:revision>
  <dcterms:created xsi:type="dcterms:W3CDTF">2026-08-21T10:09:00Z</dcterms:created>
  <dcterms:modified xsi:type="dcterms:W3CDTF">2026-08-21T10:11:00Z</dcterms:modified>
</cp:coreProperties>
</file>